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633B13" w14:textId="77777777" w:rsidR="001500F2" w:rsidRDefault="001500F2" w:rsidP="00F43A6F">
      <w:pPr>
        <w:tabs>
          <w:tab w:val="left" w:pos="426"/>
        </w:tabs>
        <w:spacing w:after="0" w:line="240" w:lineRule="auto"/>
        <w:ind w:left="0"/>
        <w:rPr>
          <w:b/>
          <w:lang w:val="ro-RO"/>
        </w:rPr>
      </w:pPr>
    </w:p>
    <w:p w14:paraId="016C4998" w14:textId="77777777" w:rsidR="00EE1060" w:rsidRPr="00F43A6F" w:rsidRDefault="00EE1060" w:rsidP="00F43A6F">
      <w:pPr>
        <w:tabs>
          <w:tab w:val="left" w:pos="426"/>
        </w:tabs>
        <w:spacing w:after="0" w:line="240" w:lineRule="auto"/>
        <w:ind w:left="0"/>
        <w:rPr>
          <w:b/>
          <w:lang w:val="ro-RO"/>
        </w:rPr>
      </w:pPr>
    </w:p>
    <w:p w14:paraId="319A09D6" w14:textId="77777777" w:rsidR="001500F2" w:rsidRPr="00D90C96" w:rsidRDefault="001500F2" w:rsidP="00F43A6F">
      <w:pPr>
        <w:tabs>
          <w:tab w:val="left" w:pos="426"/>
        </w:tabs>
        <w:spacing w:after="0" w:line="240" w:lineRule="auto"/>
        <w:ind w:left="0"/>
        <w:rPr>
          <w:rFonts w:cs="Arial"/>
          <w:b/>
          <w:lang w:val="ro-RO"/>
        </w:rPr>
      </w:pPr>
    </w:p>
    <w:p w14:paraId="086DC041" w14:textId="7DC247F3" w:rsidR="003B34FA" w:rsidRDefault="001500F2" w:rsidP="00F43A6F">
      <w:pPr>
        <w:tabs>
          <w:tab w:val="left" w:pos="426"/>
        </w:tabs>
        <w:spacing w:after="0" w:line="240" w:lineRule="auto"/>
        <w:ind w:left="0"/>
        <w:jc w:val="center"/>
        <w:rPr>
          <w:rFonts w:cs="Arial"/>
          <w:b/>
          <w:lang w:val="ro-RO"/>
        </w:rPr>
      </w:pPr>
      <w:r w:rsidRPr="00D90C96">
        <w:rPr>
          <w:rFonts w:cs="Arial"/>
          <w:b/>
          <w:lang w:val="ro-RO"/>
        </w:rPr>
        <w:t>REFERAT DE APROBARE</w:t>
      </w:r>
    </w:p>
    <w:p w14:paraId="150F4C45" w14:textId="77777777" w:rsidR="000C53AB" w:rsidRDefault="000C53AB" w:rsidP="00F43A6F">
      <w:pPr>
        <w:tabs>
          <w:tab w:val="left" w:pos="426"/>
        </w:tabs>
        <w:spacing w:after="0" w:line="240" w:lineRule="auto"/>
        <w:ind w:left="0"/>
        <w:jc w:val="center"/>
        <w:rPr>
          <w:rFonts w:cs="Arial"/>
          <w:b/>
          <w:lang w:val="ro-RO"/>
        </w:rPr>
      </w:pPr>
    </w:p>
    <w:p w14:paraId="32500EC2" w14:textId="77777777" w:rsidR="00EE1060" w:rsidRPr="00D90C96" w:rsidRDefault="00EE1060" w:rsidP="00F43A6F">
      <w:pPr>
        <w:tabs>
          <w:tab w:val="left" w:pos="426"/>
        </w:tabs>
        <w:spacing w:after="0" w:line="240" w:lineRule="auto"/>
        <w:ind w:left="0"/>
        <w:jc w:val="center"/>
        <w:rPr>
          <w:rFonts w:cs="Arial"/>
          <w:b/>
          <w:lang w:val="ro-RO"/>
        </w:rPr>
      </w:pPr>
    </w:p>
    <w:p w14:paraId="022EC6E9" w14:textId="3165D141" w:rsidR="00DB5F61" w:rsidRDefault="004B4A57" w:rsidP="00F43A6F">
      <w:pPr>
        <w:autoSpaceDE w:val="0"/>
        <w:autoSpaceDN w:val="0"/>
        <w:adjustRightInd w:val="0"/>
        <w:spacing w:after="0" w:line="240" w:lineRule="auto"/>
        <w:ind w:left="0"/>
        <w:jc w:val="center"/>
        <w:rPr>
          <w:b/>
          <w:lang w:val="it-IT"/>
        </w:rPr>
      </w:pPr>
      <w:r w:rsidRPr="00D90C96">
        <w:rPr>
          <w:rFonts w:cs="Arial"/>
          <w:lang w:val="it-IT"/>
        </w:rPr>
        <w:t>a proiectului de ordin al ministrului justiţiei pentru</w:t>
      </w:r>
      <w:r w:rsidR="00DB5F61" w:rsidRPr="00D90C96">
        <w:rPr>
          <w:rFonts w:cs="Arial"/>
          <w:b/>
          <w:lang w:val="ro-RO"/>
        </w:rPr>
        <w:t xml:space="preserve"> modificarea și completarea Ordinul</w:t>
      </w:r>
      <w:r w:rsidR="00B55D79">
        <w:rPr>
          <w:rFonts w:cs="Arial"/>
          <w:b/>
          <w:lang w:val="ro-RO"/>
        </w:rPr>
        <w:t>ui</w:t>
      </w:r>
      <w:r w:rsidR="00DB5F61" w:rsidRPr="00D90C96">
        <w:rPr>
          <w:rFonts w:cs="Arial"/>
          <w:b/>
          <w:lang w:val="ro-RO"/>
        </w:rPr>
        <w:t xml:space="preserve"> ministrului justiției nr. 2773/C/2017 </w:t>
      </w:r>
      <w:r w:rsidR="00DB5F61" w:rsidRPr="00D90C96">
        <w:rPr>
          <w:b/>
          <w:lang w:val="it-IT"/>
        </w:rPr>
        <w:t>pentru aprobarea Situaţiei centralizate a clădirilor care sunt necorespunzătoare din punctul de vedere al condiţiilor de detenţie</w:t>
      </w:r>
    </w:p>
    <w:p w14:paraId="06EDAC2A" w14:textId="77777777" w:rsidR="000C53AB" w:rsidRDefault="000C53AB" w:rsidP="00F43A6F">
      <w:pPr>
        <w:autoSpaceDE w:val="0"/>
        <w:autoSpaceDN w:val="0"/>
        <w:adjustRightInd w:val="0"/>
        <w:spacing w:after="0" w:line="240" w:lineRule="auto"/>
        <w:ind w:left="0"/>
        <w:jc w:val="center"/>
        <w:rPr>
          <w:b/>
          <w:lang w:val="it-IT"/>
        </w:rPr>
      </w:pPr>
    </w:p>
    <w:p w14:paraId="66F28A77" w14:textId="77777777" w:rsidR="000C53AB" w:rsidRPr="00D90C96" w:rsidRDefault="000C53AB" w:rsidP="00F43A6F">
      <w:pPr>
        <w:autoSpaceDE w:val="0"/>
        <w:autoSpaceDN w:val="0"/>
        <w:adjustRightInd w:val="0"/>
        <w:spacing w:after="0" w:line="240" w:lineRule="auto"/>
        <w:ind w:left="0"/>
        <w:jc w:val="center"/>
        <w:rPr>
          <w:rFonts w:cs="Arial"/>
          <w:b/>
          <w:lang w:val="it-IT"/>
        </w:rPr>
      </w:pPr>
    </w:p>
    <w:p w14:paraId="448BE40F" w14:textId="77777777" w:rsidR="00BA110C" w:rsidRPr="00D90C96" w:rsidRDefault="00BA110C" w:rsidP="00F43A6F">
      <w:pPr>
        <w:tabs>
          <w:tab w:val="left" w:pos="426"/>
        </w:tabs>
        <w:spacing w:after="0" w:line="240" w:lineRule="auto"/>
        <w:ind w:left="0"/>
        <w:rPr>
          <w:rFonts w:cs="Arial"/>
          <w:b/>
          <w:lang w:val="it-IT"/>
        </w:rPr>
      </w:pPr>
    </w:p>
    <w:p w14:paraId="7096A644" w14:textId="75752E50" w:rsidR="003B34FA" w:rsidRPr="00D90C96" w:rsidRDefault="003B34FA" w:rsidP="00F43A6F">
      <w:pPr>
        <w:tabs>
          <w:tab w:val="left" w:pos="426"/>
        </w:tabs>
        <w:spacing w:after="0" w:line="240" w:lineRule="auto"/>
        <w:ind w:left="0"/>
        <w:rPr>
          <w:rFonts w:cs="Arial"/>
          <w:b/>
          <w:lang w:val="ro-RO"/>
        </w:rPr>
      </w:pPr>
      <w:r w:rsidRPr="00D90C96">
        <w:rPr>
          <w:rFonts w:cs="Arial"/>
          <w:iCs/>
          <w:lang w:val="it-IT" w:eastAsia="ro-RO"/>
        </w:rPr>
        <w:t>Prin Legea nr. 169/2017, publicată în Monitorul Oficial nr. 571 din 18 iulie 2017, a fost modificată şi completată Legea nr. 254/2013 privind executarea pedepselor şi a măsurilor privative de libertate dispuse de organele judiciare în cursul procesului penal.</w:t>
      </w:r>
    </w:p>
    <w:p w14:paraId="5E75741D" w14:textId="77777777" w:rsidR="003B34FA" w:rsidRPr="00EE1060" w:rsidRDefault="003B34FA" w:rsidP="00F43A6F">
      <w:pPr>
        <w:tabs>
          <w:tab w:val="left" w:pos="426"/>
        </w:tabs>
        <w:spacing w:after="0" w:line="240" w:lineRule="auto"/>
        <w:ind w:left="0"/>
        <w:rPr>
          <w:rFonts w:cs="Arial"/>
          <w:i/>
          <w:iCs/>
          <w:lang w:val="it-IT" w:eastAsia="ro-RO"/>
        </w:rPr>
      </w:pPr>
      <w:proofErr w:type="spellStart"/>
      <w:r w:rsidRPr="00D90C96">
        <w:rPr>
          <w:rFonts w:cs="Arial"/>
          <w:iCs/>
          <w:lang w:eastAsia="ro-RO"/>
        </w:rPr>
        <w:t>Potrivit</w:t>
      </w:r>
      <w:proofErr w:type="spellEnd"/>
      <w:r w:rsidRPr="00D90C96">
        <w:rPr>
          <w:rFonts w:cs="Arial"/>
          <w:iCs/>
          <w:lang w:eastAsia="ro-RO"/>
        </w:rPr>
        <w:t xml:space="preserve"> </w:t>
      </w:r>
      <w:proofErr w:type="spellStart"/>
      <w:r w:rsidRPr="00D90C96">
        <w:rPr>
          <w:rFonts w:cs="Arial"/>
          <w:iCs/>
          <w:lang w:eastAsia="ro-RO"/>
        </w:rPr>
        <w:t>dispozițiilor</w:t>
      </w:r>
      <w:proofErr w:type="spellEnd"/>
      <w:r w:rsidRPr="00D90C96">
        <w:rPr>
          <w:rFonts w:cs="Arial"/>
          <w:iCs/>
          <w:lang w:eastAsia="ro-RO"/>
        </w:rPr>
        <w:t xml:space="preserve"> art. IV </w:t>
      </w:r>
      <w:proofErr w:type="spellStart"/>
      <w:r w:rsidRPr="00D90C96">
        <w:rPr>
          <w:rFonts w:cs="Arial"/>
          <w:iCs/>
          <w:lang w:eastAsia="ro-RO"/>
        </w:rPr>
        <w:t>alin</w:t>
      </w:r>
      <w:proofErr w:type="spellEnd"/>
      <w:r w:rsidRPr="00D90C96">
        <w:rPr>
          <w:rFonts w:cs="Arial"/>
          <w:iCs/>
          <w:lang w:eastAsia="ro-RO"/>
        </w:rPr>
        <w:t xml:space="preserve">. </w:t>
      </w:r>
      <w:r w:rsidRPr="00D90C96">
        <w:rPr>
          <w:rFonts w:cs="Arial"/>
          <w:iCs/>
          <w:lang w:val="it-IT" w:eastAsia="ro-RO"/>
        </w:rPr>
        <w:t xml:space="preserve">(7) din </w:t>
      </w:r>
      <w:r w:rsidRPr="00EE1060">
        <w:rPr>
          <w:rFonts w:cs="Arial"/>
          <w:iCs/>
          <w:lang w:val="it-IT" w:eastAsia="ro-RO"/>
        </w:rPr>
        <w:t xml:space="preserve">Legea nr. 169/2017: </w:t>
      </w:r>
      <w:r w:rsidRPr="00EE1060">
        <w:rPr>
          <w:rFonts w:cs="Arial"/>
          <w:i/>
          <w:iCs/>
          <w:lang w:val="it-IT" w:eastAsia="ro-RO"/>
        </w:rPr>
        <w:t>„situaţia centralizată a clădirilor care sunt necorespunzătoare din punctul de vedere al condiţiilor de detenţie va fi aprobată prin ordin al ministrului justiţiei, în termen de 60 de zile de la intrarea în vigoare a prezentei legi.”</w:t>
      </w:r>
    </w:p>
    <w:p w14:paraId="4A827013" w14:textId="77777777" w:rsidR="00B55D79" w:rsidRPr="00EE1060" w:rsidRDefault="00B55D79" w:rsidP="00B55D79">
      <w:pPr>
        <w:tabs>
          <w:tab w:val="left" w:pos="426"/>
        </w:tabs>
        <w:spacing w:after="0" w:line="240" w:lineRule="auto"/>
        <w:ind w:left="0"/>
        <w:rPr>
          <w:rFonts w:cs="Arial"/>
          <w:i/>
          <w:iCs/>
          <w:lang w:val="it-IT" w:eastAsia="ro-RO"/>
        </w:rPr>
      </w:pPr>
    </w:p>
    <w:p w14:paraId="091263CB" w14:textId="77777777" w:rsidR="00B55D79" w:rsidRPr="00EE1060" w:rsidRDefault="00B55D79" w:rsidP="00B55D79">
      <w:pPr>
        <w:tabs>
          <w:tab w:val="left" w:pos="426"/>
        </w:tabs>
        <w:autoSpaceDE w:val="0"/>
        <w:autoSpaceDN w:val="0"/>
        <w:adjustRightInd w:val="0"/>
        <w:spacing w:after="0" w:line="240" w:lineRule="auto"/>
        <w:ind w:left="0"/>
        <w:rPr>
          <w:rFonts w:eastAsia="Calibri" w:cs="Arial"/>
          <w:lang w:val="it-IT"/>
        </w:rPr>
      </w:pPr>
      <w:r w:rsidRPr="00EE1060">
        <w:rPr>
          <w:rFonts w:cs="Arial"/>
          <w:lang w:val="it-IT" w:eastAsia="ro-RO"/>
        </w:rPr>
        <w:t xml:space="preserve">Prin urmare, în scopul aplicării compensării instituite de lege pentru executarea pedepsei în condiții necorespunzătoare a fost aprobat Ordinul ministrului justiției </w:t>
      </w:r>
      <w:r w:rsidRPr="00EE1060">
        <w:rPr>
          <w:rFonts w:cs="Arial"/>
          <w:lang w:val="it-IT"/>
        </w:rPr>
        <w:t xml:space="preserve">nr. 2773/C/2017 </w:t>
      </w:r>
      <w:r w:rsidRPr="00EE1060">
        <w:rPr>
          <w:rFonts w:eastAsia="Calibri" w:cs="Arial"/>
          <w:lang w:val="it-IT"/>
        </w:rPr>
        <w:t>pentru aprobarea Situaţiei centralizate a clădirilor care sunt necorespunzătoare din punctul de vedere al condiţiilor de detenţie,</w:t>
      </w:r>
      <w:r w:rsidRPr="00EE1060">
        <w:rPr>
          <w:lang w:val="it-IT"/>
        </w:rPr>
        <w:t xml:space="preserve"> </w:t>
      </w:r>
      <w:r w:rsidRPr="00EE1060">
        <w:rPr>
          <w:rFonts w:cs="Arial"/>
          <w:iCs/>
          <w:lang w:val="it-IT" w:eastAsia="ro-RO"/>
        </w:rPr>
        <w:t xml:space="preserve">publicat în Monitorul Oficial nr. </w:t>
      </w:r>
      <w:r w:rsidRPr="00EE1060">
        <w:rPr>
          <w:lang w:val="it-IT"/>
        </w:rPr>
        <w:t>822 din 18 octombrie 2017</w:t>
      </w:r>
      <w:r w:rsidRPr="00EE1060">
        <w:rPr>
          <w:rFonts w:cs="Arial"/>
          <w:b/>
          <w:lang w:val="it-IT"/>
        </w:rPr>
        <w:t>.</w:t>
      </w:r>
    </w:p>
    <w:p w14:paraId="218B22E3" w14:textId="77777777" w:rsidR="00B55D79" w:rsidRPr="00EE1060" w:rsidRDefault="00B55D79" w:rsidP="00B55D79">
      <w:pPr>
        <w:tabs>
          <w:tab w:val="left" w:pos="426"/>
        </w:tabs>
        <w:autoSpaceDE w:val="0"/>
        <w:autoSpaceDN w:val="0"/>
        <w:adjustRightInd w:val="0"/>
        <w:spacing w:after="0" w:line="240" w:lineRule="auto"/>
        <w:ind w:left="0"/>
        <w:rPr>
          <w:rFonts w:cs="Arial"/>
          <w:iCs/>
          <w:lang w:val="it-IT" w:eastAsia="ro-RO"/>
        </w:rPr>
      </w:pPr>
      <w:r w:rsidRPr="00EE1060">
        <w:rPr>
          <w:rFonts w:cs="Arial"/>
          <w:lang w:val="it-IT" w:eastAsia="ro-RO"/>
        </w:rPr>
        <w:t xml:space="preserve">În cuprinsul ordinului menționat au fost stabilite categoriile de clădiri, identificate prin numărul de inventar, care au fost clasificate drept necorespunzătoare din punct de vedere al condiţiilor de detenţie, ţinând cont de criteriile stabilite de </w:t>
      </w:r>
      <w:r w:rsidRPr="00EE1060">
        <w:rPr>
          <w:rFonts w:cs="Arial"/>
          <w:iCs/>
          <w:lang w:val="it-IT" w:eastAsia="ro-RO"/>
        </w:rPr>
        <w:t>Legea nr. 169/2017 dar și de reperele instituite de acest act normativ care nu impune o centralizare a camerelor care asigură condiții de detenție necorespunzătoare, ci întocmirea unei situații centralizate a clădirilor destinate cazării persoanelor private de libertate.</w:t>
      </w:r>
      <w:r w:rsidRPr="00EE1060">
        <w:rPr>
          <w:rFonts w:cs="Arial"/>
          <w:iCs/>
          <w:lang w:val="it-IT" w:eastAsia="ro-RO"/>
        </w:rPr>
        <w:tab/>
      </w:r>
    </w:p>
    <w:p w14:paraId="69587423" w14:textId="77777777" w:rsidR="00EE1060" w:rsidRPr="00EE1060" w:rsidRDefault="00EE1060" w:rsidP="00B55D79">
      <w:pPr>
        <w:tabs>
          <w:tab w:val="left" w:pos="426"/>
        </w:tabs>
        <w:autoSpaceDE w:val="0"/>
        <w:autoSpaceDN w:val="0"/>
        <w:adjustRightInd w:val="0"/>
        <w:spacing w:after="0" w:line="240" w:lineRule="auto"/>
        <w:ind w:left="0"/>
        <w:rPr>
          <w:rFonts w:cs="Arial"/>
          <w:iCs/>
          <w:lang w:val="it-IT" w:eastAsia="ro-RO"/>
        </w:rPr>
      </w:pPr>
    </w:p>
    <w:p w14:paraId="71C62485" w14:textId="77777777" w:rsidR="00B55D79" w:rsidRPr="00EE1060" w:rsidRDefault="00B55D79" w:rsidP="00B55D79">
      <w:pPr>
        <w:tabs>
          <w:tab w:val="left" w:pos="426"/>
        </w:tabs>
        <w:autoSpaceDE w:val="0"/>
        <w:autoSpaceDN w:val="0"/>
        <w:adjustRightInd w:val="0"/>
        <w:spacing w:after="0" w:line="240" w:lineRule="auto"/>
        <w:ind w:left="0"/>
        <w:rPr>
          <w:rFonts w:cs="Arial"/>
          <w:iCs/>
          <w:lang w:val="it-IT" w:eastAsia="ro-RO"/>
        </w:rPr>
      </w:pPr>
      <w:r w:rsidRPr="00EE1060">
        <w:rPr>
          <w:rFonts w:cs="Arial"/>
          <w:iCs/>
          <w:lang w:val="it-IT" w:eastAsia="ro-RO"/>
        </w:rPr>
        <w:t>Astfel, în vederea determinării condiţiilor necorespunzătoare de detenţie şi acordării măsurii compensatorii prevăzute de art. 55</w:t>
      </w:r>
      <w:r w:rsidRPr="00EE1060">
        <w:rPr>
          <w:rFonts w:cs="Arial"/>
          <w:iCs/>
          <w:vertAlign w:val="superscript"/>
          <w:lang w:val="it-IT" w:eastAsia="ro-RO"/>
        </w:rPr>
        <w:t>1</w:t>
      </w:r>
      <w:r w:rsidRPr="00EE1060">
        <w:rPr>
          <w:rFonts w:cs="Arial"/>
          <w:iCs/>
          <w:lang w:val="it-IT" w:eastAsia="ro-RO"/>
        </w:rPr>
        <w:t xml:space="preserve"> alin. (1) din Legea nr. 254/2013, ordinul se raportează exclusiv la clădirile care sunt necorespunzătoare din punct de vedere al condiţiilor de detenţie, fără a face referire, în mod particular, la situaţia fiecărei camere de deţinere din interiorul unei clădiri.</w:t>
      </w:r>
    </w:p>
    <w:p w14:paraId="52B79EEB" w14:textId="77777777" w:rsidR="00EE1060" w:rsidRPr="00EE1060" w:rsidRDefault="00EE1060" w:rsidP="00B55D79">
      <w:pPr>
        <w:tabs>
          <w:tab w:val="left" w:pos="426"/>
        </w:tabs>
        <w:autoSpaceDE w:val="0"/>
        <w:autoSpaceDN w:val="0"/>
        <w:adjustRightInd w:val="0"/>
        <w:spacing w:after="0" w:line="240" w:lineRule="auto"/>
        <w:ind w:left="0"/>
        <w:rPr>
          <w:rFonts w:cs="Arial"/>
          <w:iCs/>
          <w:lang w:val="it-IT" w:eastAsia="ro-RO"/>
        </w:rPr>
      </w:pPr>
    </w:p>
    <w:p w14:paraId="5973FC26" w14:textId="77777777" w:rsidR="00B55D79" w:rsidRPr="00EE1060" w:rsidRDefault="00B55D79" w:rsidP="00B55D79">
      <w:pPr>
        <w:tabs>
          <w:tab w:val="left" w:pos="426"/>
        </w:tabs>
        <w:autoSpaceDE w:val="0"/>
        <w:autoSpaceDN w:val="0"/>
        <w:adjustRightInd w:val="0"/>
        <w:spacing w:after="0" w:line="240" w:lineRule="auto"/>
        <w:ind w:left="0"/>
        <w:rPr>
          <w:rFonts w:cs="Arial"/>
          <w:iCs/>
          <w:lang w:val="it-IT" w:eastAsia="ro-RO"/>
        </w:rPr>
      </w:pPr>
      <w:r w:rsidRPr="00EE1060">
        <w:rPr>
          <w:rFonts w:cs="Arial"/>
          <w:iCs/>
          <w:lang w:val="it-IT" w:eastAsia="ro-RO"/>
        </w:rPr>
        <w:t>Legea nr.169/2017 nu distinge cu privire la situaţia în care doar anumite camere de deținere din cadrul unei clădiri sunt necorespunzătoare din punctul de vedere al condiţiilor de detenţie, creându-se premisele aplicării măsurii compensatorii prin raportare la situația rezultată din analiza întregii clădiri destinate cazării persoanelor private de libertate.</w:t>
      </w:r>
    </w:p>
    <w:p w14:paraId="3C48DF9F" w14:textId="77777777" w:rsidR="00EE1060" w:rsidRPr="00EE1060" w:rsidRDefault="00EE1060" w:rsidP="00B55D79">
      <w:pPr>
        <w:tabs>
          <w:tab w:val="left" w:pos="426"/>
        </w:tabs>
        <w:autoSpaceDE w:val="0"/>
        <w:autoSpaceDN w:val="0"/>
        <w:adjustRightInd w:val="0"/>
        <w:spacing w:after="0" w:line="240" w:lineRule="auto"/>
        <w:ind w:left="0"/>
        <w:rPr>
          <w:rFonts w:cs="Arial"/>
          <w:iCs/>
          <w:lang w:val="it-IT" w:eastAsia="ro-RO"/>
        </w:rPr>
      </w:pPr>
    </w:p>
    <w:p w14:paraId="7E3F58B4" w14:textId="773EB8EA" w:rsidR="00B55D79" w:rsidRPr="00EE1060" w:rsidRDefault="00B55D79" w:rsidP="00EE1060">
      <w:pPr>
        <w:tabs>
          <w:tab w:val="left" w:pos="426"/>
        </w:tabs>
        <w:autoSpaceDE w:val="0"/>
        <w:autoSpaceDN w:val="0"/>
        <w:adjustRightInd w:val="0"/>
        <w:spacing w:after="0" w:line="240" w:lineRule="auto"/>
        <w:ind w:left="0"/>
        <w:rPr>
          <w:rFonts w:cs="Arial"/>
          <w:i/>
          <w:iCs/>
          <w:lang w:val="it-IT" w:eastAsia="ro-RO"/>
        </w:rPr>
      </w:pPr>
      <w:r w:rsidRPr="00EE1060">
        <w:rPr>
          <w:rFonts w:cs="Arial"/>
          <w:iCs/>
          <w:lang w:val="it-IT" w:eastAsia="ro-RO"/>
        </w:rPr>
        <w:t>În consecință, anexa conține situația centralizată a clădirilor necorespunzătoare din punctul de vedere al condițiilor de detenție, în considerarea prevederilor Legii nr. 169/2017, neprezentând relevanță dacă doar într-una sau în toate camerele de cazare din componența unei clădiri există condiții necorespunzătore de detenție.</w:t>
      </w:r>
    </w:p>
    <w:p w14:paraId="567EB67A" w14:textId="77777777" w:rsidR="00B55D79" w:rsidRPr="00EE1060" w:rsidRDefault="00B55D79" w:rsidP="00F43A6F">
      <w:pPr>
        <w:tabs>
          <w:tab w:val="left" w:pos="426"/>
        </w:tabs>
        <w:spacing w:after="0" w:line="240" w:lineRule="auto"/>
        <w:ind w:left="0"/>
        <w:rPr>
          <w:rFonts w:cs="Arial"/>
          <w:i/>
          <w:iCs/>
          <w:lang w:val="it-IT" w:eastAsia="ro-RO"/>
        </w:rPr>
      </w:pPr>
    </w:p>
    <w:p w14:paraId="6A2630B7" w14:textId="77777777" w:rsidR="00344755" w:rsidRPr="00EE1060" w:rsidRDefault="00344755" w:rsidP="00344755">
      <w:pPr>
        <w:autoSpaceDE w:val="0"/>
        <w:autoSpaceDN w:val="0"/>
        <w:adjustRightInd w:val="0"/>
        <w:spacing w:after="0" w:line="240" w:lineRule="auto"/>
        <w:ind w:left="0"/>
        <w:rPr>
          <w:lang w:val="it-IT" w:eastAsia="ro-RO"/>
        </w:rPr>
      </w:pPr>
      <w:r w:rsidRPr="00EE1060">
        <w:rPr>
          <w:rFonts w:cs="Arial"/>
          <w:lang w:val="it-IT"/>
        </w:rPr>
        <w:t>Modificarea Ordinului nr. 2773/C/2017 este necesară, în contextul în care alin. (4) al art. 2 din ordin prevede că: „</w:t>
      </w:r>
      <w:r w:rsidRPr="00EE1060">
        <w:rPr>
          <w:rFonts w:cs="Arial"/>
          <w:i/>
          <w:lang w:val="it-IT" w:eastAsia="ro-RO"/>
        </w:rPr>
        <w:t xml:space="preserve">Administraţia Naţională a Penitenciarelor centralizează lunar şi înaintează Ministerului Justiţiei modificările transmise de locurile de deţinere în vederea </w:t>
      </w:r>
      <w:r w:rsidRPr="00EE1060">
        <w:rPr>
          <w:rFonts w:cs="Arial"/>
          <w:i/>
          <w:lang w:val="it-IT" w:eastAsia="ro-RO"/>
        </w:rPr>
        <w:lastRenderedPageBreak/>
        <w:t>iniţierii demersurilor de actualizare a situaţiei centralizate a clădirilor necorespunzătoare din punctul de vedere al condiţiilor de detenţie, până pe data de 5 a lunii curente pentru propunerile primite în luna anterioară</w:t>
      </w:r>
      <w:r w:rsidRPr="00EE1060">
        <w:rPr>
          <w:rFonts w:cs="Arial"/>
          <w:lang w:val="it-IT" w:eastAsia="ro-RO"/>
        </w:rPr>
        <w:t>.”</w:t>
      </w:r>
    </w:p>
    <w:p w14:paraId="5627D231" w14:textId="77777777" w:rsidR="00344755" w:rsidRPr="00EE1060" w:rsidRDefault="00344755" w:rsidP="00344755">
      <w:pPr>
        <w:autoSpaceDE w:val="0"/>
        <w:autoSpaceDN w:val="0"/>
        <w:adjustRightInd w:val="0"/>
        <w:spacing w:after="0" w:line="240" w:lineRule="auto"/>
        <w:ind w:left="0"/>
        <w:rPr>
          <w:lang w:val="it-IT" w:eastAsia="ro-RO"/>
        </w:rPr>
      </w:pPr>
    </w:p>
    <w:p w14:paraId="3D4CF9DE" w14:textId="36141AE9" w:rsidR="003B34FA" w:rsidRPr="00D90C96" w:rsidRDefault="00344755" w:rsidP="00344755">
      <w:pPr>
        <w:tabs>
          <w:tab w:val="left" w:pos="426"/>
        </w:tabs>
        <w:autoSpaceDE w:val="0"/>
        <w:autoSpaceDN w:val="0"/>
        <w:adjustRightInd w:val="0"/>
        <w:spacing w:after="0" w:line="240" w:lineRule="auto"/>
        <w:ind w:left="0"/>
        <w:rPr>
          <w:rFonts w:cs="Arial"/>
          <w:iCs/>
          <w:lang w:val="it-IT" w:eastAsia="ro-RO"/>
        </w:rPr>
      </w:pPr>
      <w:r w:rsidRPr="00EE1060">
        <w:rPr>
          <w:rFonts w:cs="Arial"/>
          <w:lang w:val="it-IT"/>
        </w:rPr>
        <w:t xml:space="preserve">Mai mult decât atât, în </w:t>
      </w:r>
      <w:r w:rsidR="003B34FA" w:rsidRPr="00EE1060">
        <w:rPr>
          <w:rFonts w:cs="Arial"/>
          <w:lang w:val="it-IT"/>
        </w:rPr>
        <w:t xml:space="preserve">conținutul său, </w:t>
      </w:r>
      <w:r w:rsidR="00D90C96" w:rsidRPr="00EE1060">
        <w:rPr>
          <w:rFonts w:cs="Arial"/>
          <w:lang w:val="it-IT"/>
        </w:rPr>
        <w:t xml:space="preserve">Ordinul nr. 2773/C/2017 </w:t>
      </w:r>
      <w:r w:rsidR="003B34FA" w:rsidRPr="00EE1060">
        <w:rPr>
          <w:rFonts w:cs="Arial"/>
          <w:iCs/>
          <w:lang w:val="it-IT" w:eastAsia="ro-RO"/>
        </w:rPr>
        <w:t>a prevăzut ca situaţia centralizată a clădirilor necorespunzătoare din punct de vedere al condiţiilor de detenţie să fie actualizată anual, dar</w:t>
      </w:r>
      <w:r w:rsidR="003B34FA" w:rsidRPr="00D90C96">
        <w:rPr>
          <w:rFonts w:cs="Arial"/>
          <w:iCs/>
          <w:lang w:val="it-IT" w:eastAsia="ro-RO"/>
        </w:rPr>
        <w:t xml:space="preserve"> și ori de câte ori este necesar ca urmare a efectuării unor lucrări de investiţii şi reparaţii sau luării unor măsuri de descongestionare a spațiilor de cazare care conduc la asigurarea unor condiţii corespunzătoare de detenţie,</w:t>
      </w:r>
      <w:r w:rsidR="003B34FA" w:rsidRPr="00D90C96">
        <w:rPr>
          <w:lang w:val="it-IT"/>
        </w:rPr>
        <w:t xml:space="preserve"> </w:t>
      </w:r>
      <w:r w:rsidR="003B34FA" w:rsidRPr="00D90C96">
        <w:rPr>
          <w:rFonts w:cs="Arial"/>
          <w:iCs/>
          <w:lang w:val="it-IT" w:eastAsia="ro-RO"/>
        </w:rPr>
        <w:t>precum și în cazul apariției unor situații care determină includerea, în condițiile legii, a unor clădiri din categoria celor corespunzătoare, în categoria celor necorespunzătoare.</w:t>
      </w:r>
    </w:p>
    <w:p w14:paraId="4D1A95BC" w14:textId="77777777" w:rsidR="003B34FA" w:rsidRPr="00D90C96" w:rsidRDefault="003B34FA" w:rsidP="00F43A6F">
      <w:pPr>
        <w:tabs>
          <w:tab w:val="left" w:pos="426"/>
        </w:tabs>
        <w:autoSpaceDE w:val="0"/>
        <w:autoSpaceDN w:val="0"/>
        <w:adjustRightInd w:val="0"/>
        <w:spacing w:after="0" w:line="240" w:lineRule="auto"/>
        <w:ind w:left="0"/>
        <w:rPr>
          <w:rFonts w:cs="Arial"/>
          <w:iCs/>
          <w:lang w:val="it-IT" w:eastAsia="ro-RO"/>
        </w:rPr>
      </w:pPr>
      <w:r w:rsidRPr="00D90C96">
        <w:rPr>
          <w:rFonts w:cs="Arial"/>
          <w:iCs/>
          <w:lang w:val="it-IT" w:eastAsia="ro-RO"/>
        </w:rPr>
        <w:t>De asemenea, comisia de evaluare a condiţiilor de detenţie, în baza inventarului clădirilor cu destinaţia spaţii de cazare pentru persoane private de libertate,</w:t>
      </w:r>
      <w:r w:rsidRPr="00D90C96">
        <w:rPr>
          <w:lang w:val="it-IT"/>
        </w:rPr>
        <w:t xml:space="preserve"> </w:t>
      </w:r>
      <w:r w:rsidRPr="00D90C96">
        <w:rPr>
          <w:rFonts w:cs="Arial"/>
          <w:iCs/>
          <w:lang w:val="it-IT" w:eastAsia="ro-RO"/>
        </w:rPr>
        <w:t>stabileşte, la nivelul fiecărei unităţi, acele construcţii care sunt necorespunzătoare, conform dispoziţiilor ordinului.</w:t>
      </w:r>
    </w:p>
    <w:p w14:paraId="58FDC854" w14:textId="77777777" w:rsidR="00D90C96" w:rsidRPr="00EE1060" w:rsidRDefault="003B34FA" w:rsidP="00F43A6F">
      <w:pPr>
        <w:tabs>
          <w:tab w:val="left" w:pos="426"/>
        </w:tabs>
        <w:autoSpaceDE w:val="0"/>
        <w:autoSpaceDN w:val="0"/>
        <w:adjustRightInd w:val="0"/>
        <w:spacing w:after="0" w:line="240" w:lineRule="auto"/>
        <w:ind w:left="0"/>
        <w:rPr>
          <w:rFonts w:cs="Arial"/>
          <w:iCs/>
          <w:lang w:val="it-IT" w:eastAsia="ro-RO"/>
        </w:rPr>
      </w:pPr>
      <w:r w:rsidRPr="00D90C96">
        <w:rPr>
          <w:rFonts w:cs="Arial"/>
          <w:iCs/>
          <w:lang w:val="it-IT" w:eastAsia="ro-RO"/>
        </w:rPr>
        <w:t xml:space="preserve">În cazul în care în situația clădirilor destinate cazării persoanelor private de libertate intervin </w:t>
      </w:r>
      <w:r w:rsidRPr="00EE1060">
        <w:rPr>
          <w:rFonts w:cs="Arial"/>
          <w:iCs/>
          <w:lang w:val="it-IT" w:eastAsia="ro-RO"/>
        </w:rPr>
        <w:t>modificări de natură a determina includerea sau scoaterea în sau din categoria clădirilor care asigură condiții corespunzătoare de detenție, Comisia de evaluare a condiţiilor de detenţie reanalizează situația acestora și întocmește un raport de constatare a modificărilor intervenite și reclasificare a clădirii analizate care se înaintează Administraţiei Naţionale a Penitenciarelor cu propunere de actualizare a situaţiei centralizate a clădirilor necorespunzătoare din punct de vedere al condiţiilor de detenţie.</w:t>
      </w:r>
    </w:p>
    <w:p w14:paraId="59A5DAFD" w14:textId="77777777" w:rsidR="00344755" w:rsidRPr="00EE1060" w:rsidRDefault="00344755" w:rsidP="00344755">
      <w:pPr>
        <w:tabs>
          <w:tab w:val="left" w:pos="426"/>
        </w:tabs>
        <w:autoSpaceDE w:val="0"/>
        <w:autoSpaceDN w:val="0"/>
        <w:adjustRightInd w:val="0"/>
        <w:spacing w:after="0" w:line="240" w:lineRule="auto"/>
        <w:ind w:left="0"/>
        <w:rPr>
          <w:rFonts w:cs="Arial"/>
          <w:iCs/>
          <w:lang w:val="it-IT" w:eastAsia="ro-RO"/>
        </w:rPr>
      </w:pPr>
    </w:p>
    <w:p w14:paraId="4ACF02F0" w14:textId="3644D478" w:rsidR="00344755" w:rsidRPr="00EE1060" w:rsidRDefault="00344755" w:rsidP="00344755">
      <w:pPr>
        <w:autoSpaceDE w:val="0"/>
        <w:autoSpaceDN w:val="0"/>
        <w:adjustRightInd w:val="0"/>
        <w:spacing w:after="0" w:line="240" w:lineRule="auto"/>
        <w:ind w:left="0" w:right="-7"/>
        <w:rPr>
          <w:rFonts w:cs="Arial"/>
          <w:lang w:val="it-IT"/>
        </w:rPr>
      </w:pPr>
      <w:r w:rsidRPr="00EE1060">
        <w:rPr>
          <w:rFonts w:cs="Arial"/>
          <w:lang w:val="it-IT"/>
        </w:rPr>
        <w:t xml:space="preserve">Așadar, prin prezentul proiect de ordin se propune ca poziția menționată la </w:t>
      </w:r>
      <w:r w:rsidRPr="00EE1060">
        <w:rPr>
          <w:rFonts w:cs="Arial"/>
          <w:b/>
          <w:lang w:val="it-IT"/>
        </w:rPr>
        <w:t>rubrica „nr. crt.  3</w:t>
      </w:r>
      <w:r w:rsidR="00EE1060" w:rsidRPr="00EE1060">
        <w:rPr>
          <w:rFonts w:cs="Arial"/>
          <w:b/>
          <w:lang w:val="it-IT"/>
        </w:rPr>
        <w:t>”</w:t>
      </w:r>
      <w:r w:rsidRPr="00EE1060">
        <w:rPr>
          <w:rFonts w:cs="Arial"/>
          <w:b/>
          <w:lang w:val="it-IT"/>
        </w:rPr>
        <w:t xml:space="preserve"> din Anexa la Ordinul nr. 2773/C/2017 </w:t>
      </w:r>
      <w:r w:rsidRPr="00EE1060">
        <w:rPr>
          <w:rFonts w:cs="Arial"/>
          <w:lang w:val="it-IT"/>
        </w:rPr>
        <w:t>să fie actualizată, ca urmare a modificărilor intervenite în situația clădirilor din locurile de deținere, după cum urmează:</w:t>
      </w:r>
    </w:p>
    <w:p w14:paraId="719397E8" w14:textId="3B0E1CDE" w:rsidR="00B55D79" w:rsidRPr="00EE1060" w:rsidRDefault="00B55D79" w:rsidP="004D63AC">
      <w:pPr>
        <w:pStyle w:val="ListParagraph"/>
        <w:numPr>
          <w:ilvl w:val="0"/>
          <w:numId w:val="5"/>
        </w:numPr>
        <w:tabs>
          <w:tab w:val="left" w:pos="426"/>
        </w:tabs>
        <w:spacing w:after="0" w:line="240" w:lineRule="auto"/>
        <w:ind w:left="0" w:firstLine="0"/>
        <w:rPr>
          <w:rFonts w:cs="Arial"/>
          <w:lang w:val="ro-RO"/>
        </w:rPr>
      </w:pPr>
      <w:r w:rsidRPr="00EE1060">
        <w:rPr>
          <w:rFonts w:cs="Arial"/>
          <w:b/>
          <w:lang w:val="ro-RO"/>
        </w:rPr>
        <w:t>Penitenciarul Bacău</w:t>
      </w:r>
      <w:r w:rsidRPr="00EE1060">
        <w:rPr>
          <w:rFonts w:cs="Arial"/>
          <w:lang w:val="ro-RO"/>
        </w:rPr>
        <w:t xml:space="preserve"> situat în localitatea Bacău, Str. General </w:t>
      </w:r>
      <w:proofErr w:type="spellStart"/>
      <w:r w:rsidRPr="00EE1060">
        <w:rPr>
          <w:rFonts w:cs="Arial"/>
          <w:lang w:val="ro-RO"/>
        </w:rPr>
        <w:t>Ştefan</w:t>
      </w:r>
      <w:proofErr w:type="spellEnd"/>
      <w:r w:rsidRPr="00EE1060">
        <w:rPr>
          <w:rFonts w:cs="Arial"/>
          <w:lang w:val="ro-RO"/>
        </w:rPr>
        <w:t xml:space="preserve"> </w:t>
      </w:r>
      <w:proofErr w:type="spellStart"/>
      <w:r w:rsidRPr="00EE1060">
        <w:rPr>
          <w:rFonts w:cs="Arial"/>
          <w:lang w:val="ro-RO"/>
        </w:rPr>
        <w:t>Guşe</w:t>
      </w:r>
      <w:proofErr w:type="spellEnd"/>
      <w:r w:rsidRPr="00EE1060">
        <w:rPr>
          <w:rFonts w:cs="Arial"/>
          <w:lang w:val="ro-RO"/>
        </w:rPr>
        <w:t xml:space="preserve"> nr. 3, </w:t>
      </w:r>
      <w:proofErr w:type="spellStart"/>
      <w:r w:rsidRPr="00EE1060">
        <w:rPr>
          <w:rFonts w:cs="Arial"/>
          <w:lang w:val="ro-RO"/>
        </w:rPr>
        <w:t>judeţul</w:t>
      </w:r>
      <w:proofErr w:type="spellEnd"/>
      <w:r w:rsidRPr="00EE1060">
        <w:rPr>
          <w:rFonts w:cs="Arial"/>
          <w:lang w:val="ro-RO"/>
        </w:rPr>
        <w:t xml:space="preserve"> Bacău a stabilit, conform Pr</w:t>
      </w:r>
      <w:r w:rsidR="008952D7">
        <w:rPr>
          <w:rFonts w:cs="Arial"/>
          <w:lang w:val="ro-RO"/>
        </w:rPr>
        <w:t>ocesului – Verbal nr. C/26021/03.08</w:t>
      </w:r>
      <w:r w:rsidRPr="00EE1060">
        <w:rPr>
          <w:rFonts w:cs="Arial"/>
          <w:lang w:val="ro-RO"/>
        </w:rPr>
        <w:t>.2018, următoarele:</w:t>
      </w:r>
    </w:p>
    <w:p w14:paraId="463785EF" w14:textId="7DF42864" w:rsidR="00B55D79" w:rsidRPr="00EE1060" w:rsidRDefault="00B55D79" w:rsidP="004D63AC">
      <w:pPr>
        <w:numPr>
          <w:ilvl w:val="0"/>
          <w:numId w:val="4"/>
        </w:numPr>
        <w:tabs>
          <w:tab w:val="clear" w:pos="1575"/>
          <w:tab w:val="left" w:pos="284"/>
        </w:tabs>
        <w:spacing w:after="0" w:line="240" w:lineRule="auto"/>
        <w:ind w:left="0" w:firstLine="0"/>
        <w:rPr>
          <w:rFonts w:cs="Arial"/>
          <w:bdr w:val="none" w:sz="0" w:space="0" w:color="auto" w:frame="1"/>
        </w:rPr>
      </w:pPr>
      <w:proofErr w:type="spellStart"/>
      <w:r w:rsidRPr="00EE1060">
        <w:rPr>
          <w:rFonts w:cs="Arial"/>
          <w:bdr w:val="none" w:sz="0" w:space="0" w:color="auto" w:frame="1"/>
          <w:lang w:val="ro-RO"/>
        </w:rPr>
        <w:t>Spaţiul</w:t>
      </w:r>
      <w:proofErr w:type="spellEnd"/>
      <w:r w:rsidRPr="00EE1060">
        <w:rPr>
          <w:rFonts w:cs="Arial"/>
          <w:bdr w:val="none" w:sz="0" w:space="0" w:color="auto" w:frame="1"/>
          <w:lang w:val="ro-RO"/>
        </w:rPr>
        <w:t xml:space="preserve"> cazare nr. 1, identificat prin nr. inventar </w:t>
      </w:r>
      <w:smartTag w:uri="urn:schemas-microsoft-com:office:smarttags" w:element="metricconverter">
        <w:smartTagPr>
          <w:attr w:name="ProductID" w:val="100067, a"/>
        </w:smartTagPr>
        <w:r w:rsidRPr="00EE1060">
          <w:rPr>
            <w:rFonts w:cs="Arial"/>
            <w:bdr w:val="none" w:sz="0" w:space="0" w:color="auto" w:frame="1"/>
            <w:lang w:val="ro-RO"/>
          </w:rPr>
          <w:t>100067, a</w:t>
        </w:r>
      </w:smartTag>
      <w:r w:rsidRPr="00EE1060">
        <w:rPr>
          <w:rFonts w:cs="Arial"/>
          <w:bdr w:val="none" w:sz="0" w:space="0" w:color="auto" w:frame="1"/>
          <w:lang w:val="ro-RO"/>
        </w:rPr>
        <w:t xml:space="preserve"> fost inclus în categoria clădirilor  necorespunzătoare, conform anexei, în perioadele 01-31.08.2012, 01.06.2015 – 01 mai 2018, având în vedere că acesta se află în </w:t>
      </w:r>
      <w:proofErr w:type="spellStart"/>
      <w:r w:rsidRPr="00EE1060">
        <w:rPr>
          <w:rFonts w:cs="Arial"/>
          <w:bdr w:val="none" w:sz="0" w:space="0" w:color="auto" w:frame="1"/>
          <w:lang w:val="ro-RO"/>
        </w:rPr>
        <w:t>situaţia</w:t>
      </w:r>
      <w:proofErr w:type="spellEnd"/>
      <w:r w:rsidRPr="00EE1060">
        <w:rPr>
          <w:rFonts w:cs="Arial"/>
          <w:bdr w:val="none" w:sz="0" w:space="0" w:color="auto" w:frame="1"/>
          <w:lang w:val="ro-RO"/>
        </w:rPr>
        <w:t xml:space="preserve"> prevăzută art. 55</w:t>
      </w:r>
      <w:r w:rsidRPr="00EE1060">
        <w:rPr>
          <w:rFonts w:cs="Arial"/>
          <w:bdr w:val="none" w:sz="0" w:space="0" w:color="auto" w:frame="1"/>
          <w:vertAlign w:val="superscript"/>
          <w:lang w:val="ro-RO"/>
        </w:rPr>
        <w:t>1</w:t>
      </w:r>
      <w:r w:rsidRPr="00EE1060">
        <w:rPr>
          <w:rFonts w:cs="Arial"/>
          <w:bdr w:val="none" w:sz="0" w:space="0" w:color="auto" w:frame="1"/>
          <w:lang w:val="ro-RO"/>
        </w:rPr>
        <w:t xml:space="preserve">, alin. (3) lit. a), e) din Legea nr. 169/2017. </w:t>
      </w:r>
      <w:r w:rsidR="00E01C9E">
        <w:rPr>
          <w:rFonts w:cs="Arial"/>
          <w:b/>
          <w:bdr w:val="none" w:sz="0" w:space="0" w:color="auto" w:frame="1"/>
          <w:lang w:val="ro-RO"/>
        </w:rPr>
        <w:t xml:space="preserve">Începând cu luna iulie </w:t>
      </w:r>
      <w:r w:rsidRPr="00EE1060">
        <w:rPr>
          <w:rFonts w:cs="Arial"/>
          <w:b/>
          <w:bdr w:val="none" w:sz="0" w:space="0" w:color="auto" w:frame="1"/>
          <w:lang w:val="ro-RO"/>
        </w:rPr>
        <w:t>2018 a fost menținut în categoria clădirilor</w:t>
      </w:r>
      <w:r w:rsidR="00E01C9E">
        <w:rPr>
          <w:rFonts w:cs="Arial"/>
          <w:b/>
          <w:bdr w:val="none" w:sz="0" w:space="0" w:color="auto" w:frame="1"/>
          <w:lang w:val="ro-RO"/>
        </w:rPr>
        <w:t xml:space="preserve"> corespunzătoare</w:t>
      </w:r>
      <w:r w:rsidR="00EE1060" w:rsidRPr="00EE1060">
        <w:rPr>
          <w:rFonts w:cs="Arial"/>
          <w:b/>
          <w:bdr w:val="none" w:sz="0" w:space="0" w:color="auto" w:frame="1"/>
        </w:rPr>
        <w:t>;</w:t>
      </w:r>
    </w:p>
    <w:p w14:paraId="54C22682" w14:textId="77777777" w:rsidR="00B55D79" w:rsidRPr="00EE1060" w:rsidRDefault="00B55D79" w:rsidP="004D63AC">
      <w:pPr>
        <w:numPr>
          <w:ilvl w:val="0"/>
          <w:numId w:val="4"/>
        </w:numPr>
        <w:tabs>
          <w:tab w:val="clear" w:pos="1575"/>
          <w:tab w:val="left" w:pos="284"/>
        </w:tabs>
        <w:spacing w:after="0" w:line="240" w:lineRule="auto"/>
        <w:ind w:left="0" w:firstLine="0"/>
        <w:rPr>
          <w:rFonts w:cs="Arial"/>
          <w:bdr w:val="none" w:sz="0" w:space="0" w:color="auto" w:frame="1"/>
        </w:rPr>
      </w:pPr>
      <w:proofErr w:type="spellStart"/>
      <w:r w:rsidRPr="00EE1060">
        <w:rPr>
          <w:rFonts w:cs="Arial"/>
          <w:bdr w:val="none" w:sz="0" w:space="0" w:color="auto" w:frame="1"/>
        </w:rPr>
        <w:t>Spaţiul</w:t>
      </w:r>
      <w:proofErr w:type="spellEnd"/>
      <w:r w:rsidRPr="00EE1060">
        <w:rPr>
          <w:rFonts w:cs="Arial"/>
          <w:bdr w:val="none" w:sz="0" w:space="0" w:color="auto" w:frame="1"/>
        </w:rPr>
        <w:t xml:space="preserve"> </w:t>
      </w:r>
      <w:proofErr w:type="spellStart"/>
      <w:r w:rsidRPr="00EE1060">
        <w:rPr>
          <w:rFonts w:cs="Arial"/>
          <w:bdr w:val="none" w:sz="0" w:space="0" w:color="auto" w:frame="1"/>
        </w:rPr>
        <w:t>cazare</w:t>
      </w:r>
      <w:proofErr w:type="spellEnd"/>
      <w:r w:rsidRPr="00EE1060">
        <w:rPr>
          <w:rFonts w:cs="Arial"/>
          <w:bdr w:val="none" w:sz="0" w:space="0" w:color="auto" w:frame="1"/>
        </w:rPr>
        <w:t xml:space="preserve"> </w:t>
      </w:r>
      <w:proofErr w:type="spellStart"/>
      <w:r w:rsidRPr="00EE1060">
        <w:rPr>
          <w:rFonts w:cs="Arial"/>
          <w:bdr w:val="none" w:sz="0" w:space="0" w:color="auto" w:frame="1"/>
        </w:rPr>
        <w:t>nr</w:t>
      </w:r>
      <w:proofErr w:type="spellEnd"/>
      <w:r w:rsidRPr="00EE1060">
        <w:rPr>
          <w:rFonts w:cs="Arial"/>
          <w:bdr w:val="none" w:sz="0" w:space="0" w:color="auto" w:frame="1"/>
        </w:rPr>
        <w:t xml:space="preserve">. 5, </w:t>
      </w:r>
      <w:proofErr w:type="spellStart"/>
      <w:r w:rsidRPr="00EE1060">
        <w:rPr>
          <w:rFonts w:cs="Arial"/>
          <w:bdr w:val="none" w:sz="0" w:space="0" w:color="auto" w:frame="1"/>
        </w:rPr>
        <w:t>identificat</w:t>
      </w:r>
      <w:proofErr w:type="spellEnd"/>
      <w:r w:rsidRPr="00EE1060">
        <w:rPr>
          <w:rFonts w:cs="Arial"/>
          <w:bdr w:val="none" w:sz="0" w:space="0" w:color="auto" w:frame="1"/>
        </w:rPr>
        <w:t xml:space="preserve"> </w:t>
      </w:r>
      <w:proofErr w:type="spellStart"/>
      <w:r w:rsidRPr="00EE1060">
        <w:rPr>
          <w:rFonts w:cs="Arial"/>
          <w:bdr w:val="none" w:sz="0" w:space="0" w:color="auto" w:frame="1"/>
        </w:rPr>
        <w:t>prin</w:t>
      </w:r>
      <w:proofErr w:type="spellEnd"/>
      <w:r w:rsidRPr="00EE1060">
        <w:rPr>
          <w:rFonts w:cs="Arial"/>
          <w:bdr w:val="none" w:sz="0" w:space="0" w:color="auto" w:frame="1"/>
        </w:rPr>
        <w:t xml:space="preserve"> </w:t>
      </w:r>
      <w:proofErr w:type="spellStart"/>
      <w:r w:rsidRPr="00EE1060">
        <w:rPr>
          <w:rFonts w:cs="Arial"/>
          <w:bdr w:val="none" w:sz="0" w:space="0" w:color="auto" w:frame="1"/>
        </w:rPr>
        <w:t>nr</w:t>
      </w:r>
      <w:proofErr w:type="spellEnd"/>
      <w:r w:rsidRPr="00EE1060">
        <w:rPr>
          <w:rFonts w:cs="Arial"/>
          <w:bdr w:val="none" w:sz="0" w:space="0" w:color="auto" w:frame="1"/>
        </w:rPr>
        <w:t xml:space="preserve">. </w:t>
      </w:r>
      <w:proofErr w:type="spellStart"/>
      <w:r w:rsidRPr="00EE1060">
        <w:rPr>
          <w:rFonts w:cs="Arial"/>
          <w:bdr w:val="none" w:sz="0" w:space="0" w:color="auto" w:frame="1"/>
        </w:rPr>
        <w:t>inventar</w:t>
      </w:r>
      <w:proofErr w:type="spellEnd"/>
      <w:r w:rsidRPr="00EE1060">
        <w:rPr>
          <w:rFonts w:cs="Arial"/>
          <w:bdr w:val="none" w:sz="0" w:space="0" w:color="auto" w:frame="1"/>
        </w:rPr>
        <w:t xml:space="preserve"> </w:t>
      </w:r>
      <w:smartTag w:uri="urn:schemas-microsoft-com:office:smarttags" w:element="metricconverter">
        <w:smartTagPr>
          <w:attr w:name="ProductID" w:val="100118, a"/>
        </w:smartTagPr>
        <w:r w:rsidRPr="00EE1060">
          <w:rPr>
            <w:rFonts w:cs="Arial"/>
            <w:bdr w:val="none" w:sz="0" w:space="0" w:color="auto" w:frame="1"/>
          </w:rPr>
          <w:t>100118, a</w:t>
        </w:r>
      </w:smartTag>
      <w:r w:rsidRPr="00EE1060">
        <w:rPr>
          <w:rFonts w:cs="Arial"/>
          <w:bdr w:val="none" w:sz="0" w:space="0" w:color="auto" w:frame="1"/>
        </w:rPr>
        <w:t xml:space="preserve"> </w:t>
      </w:r>
      <w:proofErr w:type="spellStart"/>
      <w:r w:rsidRPr="00EE1060">
        <w:rPr>
          <w:rFonts w:cs="Arial"/>
          <w:bdr w:val="none" w:sz="0" w:space="0" w:color="auto" w:frame="1"/>
        </w:rPr>
        <w:t>fost</w:t>
      </w:r>
      <w:proofErr w:type="spellEnd"/>
      <w:r w:rsidRPr="00EE1060">
        <w:rPr>
          <w:rFonts w:cs="Arial"/>
          <w:bdr w:val="none" w:sz="0" w:space="0" w:color="auto" w:frame="1"/>
        </w:rPr>
        <w:t xml:space="preserve"> </w:t>
      </w:r>
      <w:proofErr w:type="spellStart"/>
      <w:r w:rsidRPr="00EE1060">
        <w:rPr>
          <w:rFonts w:cs="Arial"/>
          <w:bdr w:val="none" w:sz="0" w:space="0" w:color="auto" w:frame="1"/>
        </w:rPr>
        <w:t>inclus</w:t>
      </w:r>
      <w:proofErr w:type="spellEnd"/>
      <w:r w:rsidRPr="00EE1060">
        <w:rPr>
          <w:rFonts w:cs="Arial"/>
          <w:bdr w:val="none" w:sz="0" w:space="0" w:color="auto" w:frame="1"/>
        </w:rPr>
        <w:t xml:space="preserve"> </w:t>
      </w:r>
      <w:proofErr w:type="spellStart"/>
      <w:r w:rsidRPr="00EE1060">
        <w:rPr>
          <w:rFonts w:cs="Arial"/>
          <w:bdr w:val="none" w:sz="0" w:space="0" w:color="auto" w:frame="1"/>
        </w:rPr>
        <w:t>în</w:t>
      </w:r>
      <w:proofErr w:type="spellEnd"/>
      <w:r w:rsidRPr="00EE1060">
        <w:rPr>
          <w:rFonts w:cs="Arial"/>
          <w:bdr w:val="none" w:sz="0" w:space="0" w:color="auto" w:frame="1"/>
        </w:rPr>
        <w:t xml:space="preserve"> </w:t>
      </w:r>
      <w:proofErr w:type="spellStart"/>
      <w:r w:rsidRPr="00EE1060">
        <w:rPr>
          <w:rFonts w:cs="Arial"/>
          <w:bdr w:val="none" w:sz="0" w:space="0" w:color="auto" w:frame="1"/>
        </w:rPr>
        <w:t>categoria</w:t>
      </w:r>
      <w:proofErr w:type="spellEnd"/>
      <w:r w:rsidRPr="00EE1060">
        <w:rPr>
          <w:rFonts w:cs="Arial"/>
          <w:bdr w:val="none" w:sz="0" w:space="0" w:color="auto" w:frame="1"/>
        </w:rPr>
        <w:t xml:space="preserve"> </w:t>
      </w:r>
      <w:proofErr w:type="spellStart"/>
      <w:r w:rsidRPr="00EE1060">
        <w:rPr>
          <w:rFonts w:cs="Arial"/>
          <w:bdr w:val="none" w:sz="0" w:space="0" w:color="auto" w:frame="1"/>
        </w:rPr>
        <w:t>clădirilor</w:t>
      </w:r>
      <w:proofErr w:type="spellEnd"/>
      <w:r w:rsidRPr="00EE1060">
        <w:rPr>
          <w:rFonts w:cs="Arial"/>
          <w:bdr w:val="none" w:sz="0" w:space="0" w:color="auto" w:frame="1"/>
        </w:rPr>
        <w:t>  </w:t>
      </w:r>
      <w:proofErr w:type="spellStart"/>
      <w:r w:rsidRPr="00EE1060">
        <w:rPr>
          <w:rFonts w:cs="Arial"/>
          <w:bdr w:val="none" w:sz="0" w:space="0" w:color="auto" w:frame="1"/>
        </w:rPr>
        <w:t>necorespunzătoare</w:t>
      </w:r>
      <w:proofErr w:type="spellEnd"/>
      <w:r w:rsidRPr="00EE1060">
        <w:rPr>
          <w:rFonts w:cs="Arial"/>
          <w:bdr w:val="none" w:sz="0" w:space="0" w:color="auto" w:frame="1"/>
        </w:rPr>
        <w:t xml:space="preserve">, conform </w:t>
      </w:r>
      <w:proofErr w:type="spellStart"/>
      <w:r w:rsidRPr="00EE1060">
        <w:rPr>
          <w:rFonts w:cs="Arial"/>
          <w:bdr w:val="none" w:sz="0" w:space="0" w:color="auto" w:frame="1"/>
        </w:rPr>
        <w:t>anexei</w:t>
      </w:r>
      <w:proofErr w:type="spellEnd"/>
      <w:r w:rsidRPr="00EE1060">
        <w:rPr>
          <w:rFonts w:cs="Arial"/>
          <w:bdr w:val="none" w:sz="0" w:space="0" w:color="auto" w:frame="1"/>
        </w:rPr>
        <w:t xml:space="preserve">, </w:t>
      </w:r>
      <w:proofErr w:type="spellStart"/>
      <w:r w:rsidRPr="00EE1060">
        <w:rPr>
          <w:rFonts w:cs="Arial"/>
          <w:bdr w:val="none" w:sz="0" w:space="0" w:color="auto" w:frame="1"/>
        </w:rPr>
        <w:t>începând</w:t>
      </w:r>
      <w:proofErr w:type="spellEnd"/>
      <w:r w:rsidRPr="00EE1060">
        <w:rPr>
          <w:rFonts w:cs="Arial"/>
          <w:bdr w:val="none" w:sz="0" w:space="0" w:color="auto" w:frame="1"/>
        </w:rPr>
        <w:t xml:space="preserve">  cu data 01.05.2015, </w:t>
      </w:r>
      <w:proofErr w:type="spellStart"/>
      <w:r w:rsidRPr="00EE1060">
        <w:rPr>
          <w:rFonts w:cs="Arial"/>
          <w:bdr w:val="none" w:sz="0" w:space="0" w:color="auto" w:frame="1"/>
        </w:rPr>
        <w:t>având</w:t>
      </w:r>
      <w:proofErr w:type="spellEnd"/>
      <w:r w:rsidRPr="00EE1060">
        <w:rPr>
          <w:rFonts w:cs="Arial"/>
          <w:bdr w:val="none" w:sz="0" w:space="0" w:color="auto" w:frame="1"/>
        </w:rPr>
        <w:t xml:space="preserve"> </w:t>
      </w:r>
      <w:proofErr w:type="spellStart"/>
      <w:r w:rsidRPr="00EE1060">
        <w:rPr>
          <w:rFonts w:cs="Arial"/>
          <w:bdr w:val="none" w:sz="0" w:space="0" w:color="auto" w:frame="1"/>
        </w:rPr>
        <w:t>în</w:t>
      </w:r>
      <w:proofErr w:type="spellEnd"/>
      <w:r w:rsidRPr="00EE1060">
        <w:rPr>
          <w:rFonts w:cs="Arial"/>
          <w:bdr w:val="none" w:sz="0" w:space="0" w:color="auto" w:frame="1"/>
        </w:rPr>
        <w:t xml:space="preserve"> </w:t>
      </w:r>
      <w:proofErr w:type="spellStart"/>
      <w:r w:rsidRPr="00EE1060">
        <w:rPr>
          <w:rFonts w:cs="Arial"/>
          <w:bdr w:val="none" w:sz="0" w:space="0" w:color="auto" w:frame="1"/>
        </w:rPr>
        <w:t>vedere</w:t>
      </w:r>
      <w:proofErr w:type="spellEnd"/>
      <w:r w:rsidRPr="00EE1060">
        <w:rPr>
          <w:rFonts w:cs="Arial"/>
          <w:bdr w:val="none" w:sz="0" w:space="0" w:color="auto" w:frame="1"/>
        </w:rPr>
        <w:t xml:space="preserve"> </w:t>
      </w:r>
      <w:proofErr w:type="spellStart"/>
      <w:r w:rsidRPr="00EE1060">
        <w:rPr>
          <w:rFonts w:cs="Arial"/>
          <w:bdr w:val="none" w:sz="0" w:space="0" w:color="auto" w:frame="1"/>
        </w:rPr>
        <w:t>că</w:t>
      </w:r>
      <w:proofErr w:type="spellEnd"/>
      <w:r w:rsidRPr="00EE1060">
        <w:rPr>
          <w:rFonts w:cs="Arial"/>
          <w:bdr w:val="none" w:sz="0" w:space="0" w:color="auto" w:frame="1"/>
        </w:rPr>
        <w:t xml:space="preserve"> </w:t>
      </w:r>
      <w:proofErr w:type="spellStart"/>
      <w:r w:rsidRPr="00EE1060">
        <w:rPr>
          <w:rFonts w:cs="Arial"/>
          <w:bdr w:val="none" w:sz="0" w:space="0" w:color="auto" w:frame="1"/>
        </w:rPr>
        <w:t>acesta</w:t>
      </w:r>
      <w:proofErr w:type="spellEnd"/>
      <w:r w:rsidRPr="00EE1060">
        <w:rPr>
          <w:rFonts w:cs="Arial"/>
          <w:bdr w:val="none" w:sz="0" w:space="0" w:color="auto" w:frame="1"/>
        </w:rPr>
        <w:t xml:space="preserve"> se </w:t>
      </w:r>
      <w:proofErr w:type="spellStart"/>
      <w:r w:rsidRPr="00EE1060">
        <w:rPr>
          <w:rFonts w:cs="Arial"/>
          <w:bdr w:val="none" w:sz="0" w:space="0" w:color="auto" w:frame="1"/>
        </w:rPr>
        <w:t>află</w:t>
      </w:r>
      <w:proofErr w:type="spellEnd"/>
      <w:r w:rsidRPr="00EE1060">
        <w:rPr>
          <w:rFonts w:cs="Arial"/>
          <w:bdr w:val="none" w:sz="0" w:space="0" w:color="auto" w:frame="1"/>
        </w:rPr>
        <w:t xml:space="preserve"> </w:t>
      </w:r>
      <w:proofErr w:type="spellStart"/>
      <w:r w:rsidRPr="00EE1060">
        <w:rPr>
          <w:rFonts w:cs="Arial"/>
          <w:bdr w:val="none" w:sz="0" w:space="0" w:color="auto" w:frame="1"/>
        </w:rPr>
        <w:t>în</w:t>
      </w:r>
      <w:proofErr w:type="spellEnd"/>
      <w:r w:rsidRPr="00EE1060">
        <w:rPr>
          <w:rFonts w:cs="Arial"/>
          <w:bdr w:val="none" w:sz="0" w:space="0" w:color="auto" w:frame="1"/>
        </w:rPr>
        <w:t xml:space="preserve"> </w:t>
      </w:r>
      <w:proofErr w:type="spellStart"/>
      <w:r w:rsidRPr="00EE1060">
        <w:rPr>
          <w:rFonts w:cs="Arial"/>
          <w:bdr w:val="none" w:sz="0" w:space="0" w:color="auto" w:frame="1"/>
        </w:rPr>
        <w:t>situaţia</w:t>
      </w:r>
      <w:proofErr w:type="spellEnd"/>
      <w:r w:rsidRPr="00EE1060">
        <w:rPr>
          <w:rFonts w:cs="Arial"/>
          <w:bdr w:val="none" w:sz="0" w:space="0" w:color="auto" w:frame="1"/>
        </w:rPr>
        <w:t xml:space="preserve"> </w:t>
      </w:r>
      <w:proofErr w:type="spellStart"/>
      <w:r w:rsidRPr="00EE1060">
        <w:rPr>
          <w:rFonts w:cs="Arial"/>
          <w:bdr w:val="none" w:sz="0" w:space="0" w:color="auto" w:frame="1"/>
        </w:rPr>
        <w:t>prevăzută</w:t>
      </w:r>
      <w:proofErr w:type="spellEnd"/>
      <w:r w:rsidRPr="00EE1060">
        <w:rPr>
          <w:rFonts w:cs="Arial"/>
          <w:bdr w:val="none" w:sz="0" w:space="0" w:color="auto" w:frame="1"/>
        </w:rPr>
        <w:t xml:space="preserve"> art. 55</w:t>
      </w:r>
      <w:r w:rsidRPr="00EE1060">
        <w:rPr>
          <w:rFonts w:cs="Arial"/>
          <w:bdr w:val="none" w:sz="0" w:space="0" w:color="auto" w:frame="1"/>
          <w:vertAlign w:val="superscript"/>
        </w:rPr>
        <w:t>1</w:t>
      </w:r>
      <w:r w:rsidRPr="00EE1060">
        <w:rPr>
          <w:rFonts w:cs="Arial"/>
          <w:bdr w:val="none" w:sz="0" w:space="0" w:color="auto" w:frame="1"/>
        </w:rPr>
        <w:t xml:space="preserve">, </w:t>
      </w:r>
      <w:proofErr w:type="spellStart"/>
      <w:r w:rsidRPr="00EE1060">
        <w:rPr>
          <w:rFonts w:cs="Arial"/>
          <w:bdr w:val="none" w:sz="0" w:space="0" w:color="auto" w:frame="1"/>
        </w:rPr>
        <w:t>alin</w:t>
      </w:r>
      <w:proofErr w:type="spellEnd"/>
      <w:r w:rsidRPr="00EE1060">
        <w:rPr>
          <w:rFonts w:cs="Arial"/>
          <w:bdr w:val="none" w:sz="0" w:space="0" w:color="auto" w:frame="1"/>
        </w:rPr>
        <w:t xml:space="preserve">. </w:t>
      </w:r>
      <w:r w:rsidRPr="00EE1060">
        <w:rPr>
          <w:rFonts w:cs="Arial"/>
          <w:bdr w:val="none" w:sz="0" w:space="0" w:color="auto" w:frame="1"/>
          <w:lang w:val="it-IT"/>
        </w:rPr>
        <w:t xml:space="preserve">(3) lit. a), e), din Legea nr. 169/2017. </w:t>
      </w:r>
      <w:r w:rsidRPr="00EE1060">
        <w:rPr>
          <w:rFonts w:cs="Arial"/>
          <w:b/>
          <w:bdr w:val="none" w:sz="0" w:space="0" w:color="auto" w:frame="1"/>
          <w:lang w:val="it-IT"/>
        </w:rPr>
        <w:t>Începând cu luna iunie 2018 a fost menținut în categoria clădirilor necorespunzătoare având în vedere că acesta se află în situaţia prevăzută art. 55</w:t>
      </w:r>
      <w:r w:rsidRPr="00EE1060">
        <w:rPr>
          <w:rFonts w:cs="Arial"/>
          <w:b/>
          <w:bdr w:val="none" w:sz="0" w:space="0" w:color="auto" w:frame="1"/>
          <w:vertAlign w:val="superscript"/>
          <w:lang w:val="it-IT"/>
        </w:rPr>
        <w:t>1</w:t>
      </w:r>
      <w:r w:rsidRPr="00EE1060">
        <w:rPr>
          <w:rFonts w:cs="Arial"/>
          <w:b/>
          <w:bdr w:val="none" w:sz="0" w:space="0" w:color="auto" w:frame="1"/>
          <w:lang w:val="it-IT"/>
        </w:rPr>
        <w:t xml:space="preserve">, alin. </w:t>
      </w:r>
      <w:r w:rsidRPr="00EE1060">
        <w:rPr>
          <w:rFonts w:cs="Arial"/>
          <w:b/>
          <w:bdr w:val="none" w:sz="0" w:space="0" w:color="auto" w:frame="1"/>
        </w:rPr>
        <w:t xml:space="preserve">(3) lit. a) din </w:t>
      </w:r>
      <w:proofErr w:type="spellStart"/>
      <w:r w:rsidRPr="00EE1060">
        <w:rPr>
          <w:rFonts w:cs="Arial"/>
          <w:b/>
          <w:bdr w:val="none" w:sz="0" w:space="0" w:color="auto" w:frame="1"/>
        </w:rPr>
        <w:t>Legea</w:t>
      </w:r>
      <w:proofErr w:type="spellEnd"/>
      <w:r w:rsidRPr="00EE1060">
        <w:rPr>
          <w:rFonts w:cs="Arial"/>
          <w:b/>
          <w:bdr w:val="none" w:sz="0" w:space="0" w:color="auto" w:frame="1"/>
        </w:rPr>
        <w:t xml:space="preserve"> </w:t>
      </w:r>
      <w:proofErr w:type="spellStart"/>
      <w:r w:rsidRPr="00EE1060">
        <w:rPr>
          <w:rFonts w:cs="Arial"/>
          <w:b/>
          <w:bdr w:val="none" w:sz="0" w:space="0" w:color="auto" w:frame="1"/>
        </w:rPr>
        <w:t>nr</w:t>
      </w:r>
      <w:proofErr w:type="spellEnd"/>
      <w:r w:rsidRPr="00EE1060">
        <w:rPr>
          <w:rFonts w:cs="Arial"/>
          <w:b/>
          <w:bdr w:val="none" w:sz="0" w:space="0" w:color="auto" w:frame="1"/>
        </w:rPr>
        <w:t>. 169/2017.</w:t>
      </w:r>
    </w:p>
    <w:p w14:paraId="026AEC81" w14:textId="77777777" w:rsidR="00B55D79" w:rsidRDefault="00B55D79" w:rsidP="00B55D79">
      <w:pPr>
        <w:autoSpaceDE w:val="0"/>
        <w:autoSpaceDN w:val="0"/>
        <w:adjustRightInd w:val="0"/>
        <w:spacing w:after="0" w:line="240" w:lineRule="auto"/>
        <w:ind w:left="0"/>
        <w:rPr>
          <w:rFonts w:cs="Arial"/>
          <w:b/>
          <w:lang w:val="it-IT"/>
        </w:rPr>
      </w:pPr>
    </w:p>
    <w:p w14:paraId="5E2A054D" w14:textId="77777777" w:rsidR="00EE1060" w:rsidRPr="00EE1060" w:rsidRDefault="00EE1060" w:rsidP="00B55D79">
      <w:pPr>
        <w:autoSpaceDE w:val="0"/>
        <w:autoSpaceDN w:val="0"/>
        <w:adjustRightInd w:val="0"/>
        <w:spacing w:after="0" w:line="240" w:lineRule="auto"/>
        <w:ind w:left="0"/>
        <w:rPr>
          <w:rFonts w:cs="Arial"/>
          <w:b/>
          <w:lang w:val="it-IT"/>
        </w:rPr>
      </w:pPr>
    </w:p>
    <w:p w14:paraId="24D8BB75" w14:textId="77777777" w:rsidR="00344755" w:rsidRPr="00344755" w:rsidRDefault="00344755" w:rsidP="00344755">
      <w:pPr>
        <w:autoSpaceDE w:val="0"/>
        <w:autoSpaceDN w:val="0"/>
        <w:adjustRightInd w:val="0"/>
        <w:spacing w:after="0" w:line="240" w:lineRule="auto"/>
        <w:ind w:left="0"/>
        <w:rPr>
          <w:rFonts w:cs="Arial"/>
          <w:lang w:val="it-IT"/>
        </w:rPr>
      </w:pPr>
      <w:r w:rsidRPr="00344755">
        <w:rPr>
          <w:rFonts w:cs="Arial"/>
          <w:lang w:val="it-IT"/>
        </w:rPr>
        <w:t xml:space="preserve">Faţă de cele prezentate mai sus, a fost întocmit prezentul </w:t>
      </w:r>
      <w:r w:rsidRPr="00344755">
        <w:rPr>
          <w:rFonts w:cs="Arial"/>
          <w:b/>
          <w:lang w:val="it-IT"/>
        </w:rPr>
        <w:t>proiect de ordin al ministrului justiţiei pentru</w:t>
      </w:r>
      <w:r w:rsidRPr="00344755">
        <w:rPr>
          <w:rFonts w:cs="Arial"/>
          <w:b/>
          <w:color w:val="FF0000"/>
          <w:lang w:val="it-IT"/>
        </w:rPr>
        <w:t xml:space="preserve"> </w:t>
      </w:r>
      <w:r w:rsidRPr="00344755">
        <w:rPr>
          <w:rFonts w:cs="Arial"/>
          <w:b/>
          <w:lang w:val="it-IT"/>
        </w:rPr>
        <w:t xml:space="preserve">actualizarea </w:t>
      </w:r>
      <w:r w:rsidRPr="00344755">
        <w:rPr>
          <w:rFonts w:eastAsia="Calibri" w:cs="Arial"/>
          <w:b/>
          <w:lang w:val="it-IT"/>
        </w:rPr>
        <w:t>situaţiei centralizate a clădirilor care sunt necorespunzătoare din punctul de vedere al condiţiilor de detenţie, aprobată prin</w:t>
      </w:r>
      <w:r w:rsidRPr="00344755">
        <w:rPr>
          <w:rFonts w:cs="Arial"/>
          <w:b/>
          <w:lang w:val="it-IT"/>
        </w:rPr>
        <w:t xml:space="preserve"> Ordinul ministrului justiției nr. 2773/C/2017</w:t>
      </w:r>
      <w:r w:rsidRPr="00344755">
        <w:rPr>
          <w:rFonts w:cs="Arial"/>
          <w:i/>
          <w:lang w:val="it-IT"/>
        </w:rPr>
        <w:t xml:space="preserve">, </w:t>
      </w:r>
      <w:r w:rsidRPr="00344755">
        <w:rPr>
          <w:rFonts w:cs="Arial"/>
          <w:lang w:val="it-IT"/>
        </w:rPr>
        <w:t>pe care vi-l supunem aprobării.</w:t>
      </w:r>
    </w:p>
    <w:p w14:paraId="352D2782" w14:textId="77777777" w:rsidR="004F4C01" w:rsidRDefault="004F4C01" w:rsidP="004F4C01">
      <w:pPr>
        <w:spacing w:after="0"/>
        <w:ind w:left="0"/>
        <w:jc w:val="left"/>
        <w:rPr>
          <w:rFonts w:eastAsia="Times New Roman" w:cs="Arial"/>
          <w:b/>
          <w:bCs/>
          <w:lang w:val="ro-RO"/>
        </w:rPr>
      </w:pPr>
    </w:p>
    <w:p w14:paraId="7B133F84" w14:textId="77777777" w:rsidR="00344755" w:rsidRPr="00344755" w:rsidRDefault="00344755" w:rsidP="004F4C01">
      <w:pPr>
        <w:spacing w:after="0"/>
        <w:ind w:left="0"/>
        <w:jc w:val="left"/>
        <w:rPr>
          <w:rFonts w:eastAsia="Times New Roman" w:cs="Arial"/>
          <w:b/>
          <w:bCs/>
          <w:lang w:val="ro-RO"/>
        </w:rPr>
      </w:pPr>
    </w:p>
    <w:p w14:paraId="7E55D657" w14:textId="612A8774" w:rsidR="004F4C01" w:rsidRPr="00344755" w:rsidRDefault="00EA2112" w:rsidP="004F4C01">
      <w:pPr>
        <w:spacing w:after="0"/>
        <w:ind w:left="0"/>
        <w:jc w:val="left"/>
        <w:rPr>
          <w:rFonts w:eastAsia="Times New Roman" w:cs="Arial"/>
          <w:b/>
          <w:bCs/>
          <w:lang w:val="ro-RO"/>
        </w:rPr>
      </w:pPr>
      <w:r>
        <w:rPr>
          <w:rFonts w:eastAsia="Times New Roman" w:cs="Arial"/>
          <w:b/>
          <w:bCs/>
          <w:lang w:val="ro-RO"/>
        </w:rPr>
        <w:t>Nicolae Liviu POPA</w:t>
      </w:r>
      <w:bookmarkStart w:id="0" w:name="_GoBack"/>
      <w:bookmarkEnd w:id="0"/>
    </w:p>
    <w:p w14:paraId="3E0CD286" w14:textId="77777777" w:rsidR="004F4C01" w:rsidRPr="00344755" w:rsidRDefault="004F4C01" w:rsidP="004F4C01">
      <w:pPr>
        <w:spacing w:after="0"/>
        <w:ind w:left="0"/>
        <w:jc w:val="left"/>
        <w:rPr>
          <w:rFonts w:eastAsia="Times New Roman" w:cs="Arial"/>
          <w:b/>
          <w:bCs/>
          <w:lang w:val="ro-RO"/>
        </w:rPr>
      </w:pPr>
    </w:p>
    <w:p w14:paraId="0CF52F88" w14:textId="77777777" w:rsidR="004F4C01" w:rsidRDefault="004F4C01" w:rsidP="004F4C01">
      <w:pPr>
        <w:spacing w:after="0"/>
        <w:ind w:left="0"/>
        <w:jc w:val="left"/>
        <w:rPr>
          <w:rFonts w:eastAsia="Times New Roman" w:cs="Arial"/>
          <w:b/>
          <w:bCs/>
          <w:lang w:val="ro-RO"/>
        </w:rPr>
      </w:pPr>
      <w:r w:rsidRPr="00344755">
        <w:rPr>
          <w:rFonts w:eastAsia="Times New Roman" w:cs="Arial"/>
          <w:b/>
          <w:bCs/>
          <w:lang w:val="ro-RO"/>
        </w:rPr>
        <w:t>Secretar de Stat</w:t>
      </w:r>
    </w:p>
    <w:p w14:paraId="541D7F1B" w14:textId="77777777" w:rsidR="000C53AB" w:rsidRDefault="000C53AB" w:rsidP="004F4C01">
      <w:pPr>
        <w:spacing w:after="0"/>
        <w:ind w:left="0"/>
        <w:jc w:val="left"/>
        <w:rPr>
          <w:rFonts w:eastAsia="Times New Roman" w:cs="Arial"/>
          <w:b/>
          <w:bCs/>
          <w:lang w:val="ro-RO"/>
        </w:rPr>
      </w:pPr>
    </w:p>
    <w:sectPr w:rsidR="000C53AB" w:rsidSect="002062E1">
      <w:headerReference w:type="default" r:id="rId8"/>
      <w:footerReference w:type="default" r:id="rId9"/>
      <w:headerReference w:type="first" r:id="rId10"/>
      <w:footerReference w:type="first" r:id="rId11"/>
      <w:pgSz w:w="11900" w:h="16840" w:code="9"/>
      <w:pgMar w:top="1418" w:right="567" w:bottom="1418" w:left="2268" w:header="567"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57587F" w14:textId="77777777" w:rsidR="008116A4" w:rsidRDefault="008116A4" w:rsidP="00CD5B3B">
      <w:r>
        <w:separator/>
      </w:r>
    </w:p>
  </w:endnote>
  <w:endnote w:type="continuationSeparator" w:id="0">
    <w:p w14:paraId="20ED5DB2" w14:textId="77777777" w:rsidR="008116A4" w:rsidRDefault="008116A4" w:rsidP="00CD5B3B">
      <w:r>
        <w:continuationSeparator/>
      </w:r>
    </w:p>
  </w:endnote>
  <w:endnote w:type="continuationNotice" w:id="1">
    <w:p w14:paraId="4FE2CAFE" w14:textId="77777777" w:rsidR="008116A4" w:rsidRDefault="008116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967" w:type="dxa"/>
      <w:tblInd w:w="-567" w:type="dxa"/>
      <w:tblLook w:val="04A0" w:firstRow="1" w:lastRow="0" w:firstColumn="1" w:lastColumn="0" w:noHBand="0" w:noVBand="1"/>
    </w:tblPr>
    <w:tblGrid>
      <w:gridCol w:w="5986"/>
      <w:gridCol w:w="2981"/>
    </w:tblGrid>
    <w:tr w:rsidR="00AA3EDB" w:rsidRPr="00036CF6" w14:paraId="00B480B3" w14:textId="77777777" w:rsidTr="00F43A6F">
      <w:tc>
        <w:tcPr>
          <w:tcW w:w="5986" w:type="dxa"/>
          <w:tcBorders>
            <w:left w:val="nil"/>
          </w:tcBorders>
          <w:shd w:val="clear" w:color="auto" w:fill="auto"/>
        </w:tcPr>
        <w:p w14:paraId="47D589CF" w14:textId="77777777" w:rsidR="00AA3EDB" w:rsidRPr="00036CF6" w:rsidRDefault="00AA3EDB" w:rsidP="00747B30">
          <w:pPr>
            <w:tabs>
              <w:tab w:val="center" w:pos="4536"/>
              <w:tab w:val="right" w:pos="9072"/>
            </w:tabs>
            <w:spacing w:after="0" w:line="240" w:lineRule="auto"/>
            <w:ind w:left="0"/>
            <w:jc w:val="left"/>
            <w:rPr>
              <w:sz w:val="14"/>
              <w:szCs w:val="14"/>
            </w:rPr>
          </w:pPr>
          <w:r w:rsidRPr="00036CF6">
            <w:rPr>
              <w:sz w:val="14"/>
              <w:szCs w:val="14"/>
            </w:rPr>
            <w:t xml:space="preserve">Str. </w:t>
          </w:r>
          <w:proofErr w:type="spellStart"/>
          <w:r w:rsidRPr="00036CF6">
            <w:rPr>
              <w:sz w:val="14"/>
              <w:szCs w:val="14"/>
            </w:rPr>
            <w:t>Apolodor</w:t>
          </w:r>
          <w:proofErr w:type="spellEnd"/>
          <w:r w:rsidRPr="00036CF6">
            <w:rPr>
              <w:sz w:val="14"/>
              <w:szCs w:val="14"/>
            </w:rPr>
            <w:t xml:space="preserve"> </w:t>
          </w:r>
          <w:proofErr w:type="spellStart"/>
          <w:r w:rsidRPr="00036CF6">
            <w:rPr>
              <w:sz w:val="14"/>
              <w:szCs w:val="14"/>
            </w:rPr>
            <w:t>nr</w:t>
          </w:r>
          <w:proofErr w:type="spellEnd"/>
          <w:r w:rsidRPr="00036CF6">
            <w:rPr>
              <w:sz w:val="14"/>
              <w:szCs w:val="14"/>
            </w:rPr>
            <w:t xml:space="preserve">. 17, sector 5, 050741 </w:t>
          </w:r>
          <w:proofErr w:type="spellStart"/>
          <w:r w:rsidRPr="00036CF6">
            <w:rPr>
              <w:sz w:val="14"/>
              <w:szCs w:val="14"/>
            </w:rPr>
            <w:t>Bucureşti</w:t>
          </w:r>
          <w:proofErr w:type="spellEnd"/>
          <w:r w:rsidRPr="00036CF6">
            <w:rPr>
              <w:sz w:val="14"/>
              <w:szCs w:val="14"/>
            </w:rPr>
            <w:t xml:space="preserve">, </w:t>
          </w:r>
          <w:proofErr w:type="spellStart"/>
          <w:r w:rsidRPr="00036CF6">
            <w:rPr>
              <w:sz w:val="14"/>
              <w:szCs w:val="14"/>
            </w:rPr>
            <w:t>România</w:t>
          </w:r>
          <w:proofErr w:type="spellEnd"/>
        </w:p>
        <w:p w14:paraId="6614A3E3" w14:textId="77777777" w:rsidR="00AA3EDB" w:rsidRPr="00036CF6" w:rsidRDefault="00AA3EDB" w:rsidP="00747B30">
          <w:pPr>
            <w:tabs>
              <w:tab w:val="center" w:pos="4320"/>
              <w:tab w:val="right" w:pos="8640"/>
            </w:tabs>
            <w:spacing w:after="0"/>
            <w:ind w:left="0"/>
            <w:rPr>
              <w:sz w:val="14"/>
              <w:szCs w:val="14"/>
            </w:rPr>
          </w:pPr>
          <w:r w:rsidRPr="00036CF6">
            <w:rPr>
              <w:sz w:val="14"/>
              <w:szCs w:val="14"/>
            </w:rPr>
            <w:t>Tel. +4 037 204 1999</w:t>
          </w:r>
        </w:p>
        <w:p w14:paraId="40E02590" w14:textId="77777777" w:rsidR="00AA3EDB" w:rsidRPr="00036CF6" w:rsidRDefault="008116A4" w:rsidP="00747B30">
          <w:pPr>
            <w:tabs>
              <w:tab w:val="center" w:pos="4320"/>
              <w:tab w:val="right" w:pos="8640"/>
            </w:tabs>
            <w:spacing w:after="0"/>
            <w:ind w:left="0"/>
            <w:rPr>
              <w:sz w:val="14"/>
              <w:szCs w:val="14"/>
            </w:rPr>
          </w:pPr>
          <w:hyperlink r:id="rId1" w:history="1">
            <w:r w:rsidR="00AA3EDB" w:rsidRPr="00036CF6">
              <w:rPr>
                <w:color w:val="0000FF" w:themeColor="hyperlink"/>
                <w:sz w:val="14"/>
                <w:szCs w:val="14"/>
                <w:u w:val="single"/>
              </w:rPr>
              <w:t>www.just.ro</w:t>
            </w:r>
          </w:hyperlink>
        </w:p>
        <w:p w14:paraId="720DE6F1" w14:textId="77777777" w:rsidR="00AA3EDB" w:rsidRPr="00036CF6" w:rsidRDefault="00AA3EDB" w:rsidP="00747B30">
          <w:pPr>
            <w:tabs>
              <w:tab w:val="center" w:pos="4536"/>
              <w:tab w:val="right" w:pos="9072"/>
            </w:tabs>
            <w:spacing w:after="0" w:line="240" w:lineRule="auto"/>
            <w:ind w:left="0"/>
            <w:jc w:val="left"/>
            <w:rPr>
              <w:rFonts w:ascii="Arial" w:eastAsia="Times New Roman" w:hAnsi="Arial" w:cs="Arial"/>
              <w:b/>
              <w:color w:val="003366"/>
              <w:sz w:val="16"/>
              <w:szCs w:val="16"/>
              <w:lang w:val="ro-RO" w:eastAsia="ro-RO"/>
            </w:rPr>
          </w:pPr>
        </w:p>
      </w:tc>
      <w:tc>
        <w:tcPr>
          <w:tcW w:w="2981" w:type="dxa"/>
          <w:shd w:val="clear" w:color="auto" w:fill="auto"/>
        </w:tcPr>
        <w:p w14:paraId="1A619F64" w14:textId="77777777" w:rsidR="00AA3EDB" w:rsidRPr="00B66E1D" w:rsidRDefault="00AA3EDB" w:rsidP="00747B30">
          <w:pPr>
            <w:tabs>
              <w:tab w:val="center" w:pos="4536"/>
              <w:tab w:val="right" w:pos="9072"/>
            </w:tabs>
            <w:spacing w:after="0" w:line="240" w:lineRule="auto"/>
            <w:ind w:left="0"/>
            <w:jc w:val="right"/>
            <w:rPr>
              <w:sz w:val="14"/>
              <w:szCs w:val="14"/>
              <w:lang w:val="es-ES"/>
            </w:rPr>
          </w:pPr>
          <w:proofErr w:type="spellStart"/>
          <w:r w:rsidRPr="00B66E1D">
            <w:rPr>
              <w:sz w:val="14"/>
              <w:szCs w:val="14"/>
              <w:lang w:val="es-ES"/>
            </w:rPr>
            <w:t>Pagina</w:t>
          </w:r>
          <w:proofErr w:type="spellEnd"/>
          <w:r w:rsidRPr="00B66E1D">
            <w:rPr>
              <w:sz w:val="14"/>
              <w:szCs w:val="14"/>
              <w:lang w:val="es-ES"/>
            </w:rPr>
            <w:t xml:space="preserve"> </w:t>
          </w:r>
          <w:r w:rsidRPr="00036CF6">
            <w:rPr>
              <w:sz w:val="14"/>
              <w:szCs w:val="14"/>
            </w:rPr>
            <w:fldChar w:fldCharType="begin"/>
          </w:r>
          <w:r w:rsidRPr="00B66E1D">
            <w:rPr>
              <w:sz w:val="14"/>
              <w:szCs w:val="14"/>
              <w:lang w:val="es-ES"/>
            </w:rPr>
            <w:instrText xml:space="preserve"> PAGE </w:instrText>
          </w:r>
          <w:r w:rsidRPr="00036CF6">
            <w:rPr>
              <w:sz w:val="14"/>
              <w:szCs w:val="14"/>
            </w:rPr>
            <w:fldChar w:fldCharType="separate"/>
          </w:r>
          <w:r w:rsidR="00EA2112">
            <w:rPr>
              <w:noProof/>
              <w:sz w:val="14"/>
              <w:szCs w:val="14"/>
              <w:lang w:val="es-ES"/>
            </w:rPr>
            <w:t>2</w:t>
          </w:r>
          <w:r w:rsidRPr="00036CF6">
            <w:rPr>
              <w:sz w:val="14"/>
              <w:szCs w:val="14"/>
            </w:rPr>
            <w:fldChar w:fldCharType="end"/>
          </w:r>
          <w:r w:rsidRPr="00B66E1D">
            <w:rPr>
              <w:sz w:val="14"/>
              <w:szCs w:val="14"/>
              <w:lang w:val="es-ES"/>
            </w:rPr>
            <w:t xml:space="preserve"> </w:t>
          </w:r>
          <w:proofErr w:type="spellStart"/>
          <w:r w:rsidRPr="00B66E1D">
            <w:rPr>
              <w:sz w:val="14"/>
              <w:szCs w:val="14"/>
              <w:lang w:val="es-ES"/>
            </w:rPr>
            <w:t>din</w:t>
          </w:r>
          <w:proofErr w:type="spellEnd"/>
          <w:r w:rsidRPr="00B66E1D">
            <w:rPr>
              <w:sz w:val="14"/>
              <w:szCs w:val="14"/>
              <w:lang w:val="es-ES"/>
            </w:rPr>
            <w:t xml:space="preserve"> </w:t>
          </w:r>
          <w:r w:rsidRPr="00036CF6">
            <w:rPr>
              <w:sz w:val="14"/>
              <w:szCs w:val="14"/>
            </w:rPr>
            <w:fldChar w:fldCharType="begin"/>
          </w:r>
          <w:r w:rsidRPr="00B66E1D">
            <w:rPr>
              <w:sz w:val="14"/>
              <w:szCs w:val="14"/>
              <w:lang w:val="es-ES"/>
            </w:rPr>
            <w:instrText xml:space="preserve"> SECTIONPAGES   \* MERGEFORMAT </w:instrText>
          </w:r>
          <w:r w:rsidRPr="00036CF6">
            <w:rPr>
              <w:sz w:val="14"/>
              <w:szCs w:val="14"/>
            </w:rPr>
            <w:fldChar w:fldCharType="separate"/>
          </w:r>
          <w:r w:rsidR="00EA2112">
            <w:rPr>
              <w:noProof/>
              <w:sz w:val="14"/>
              <w:szCs w:val="14"/>
              <w:lang w:val="es-ES"/>
            </w:rPr>
            <w:t>2</w:t>
          </w:r>
          <w:r w:rsidRPr="00036CF6">
            <w:rPr>
              <w:sz w:val="14"/>
              <w:szCs w:val="14"/>
            </w:rPr>
            <w:fldChar w:fldCharType="end"/>
          </w:r>
        </w:p>
        <w:p w14:paraId="2E2C9246" w14:textId="77777777" w:rsidR="00AA3EDB" w:rsidRPr="00B66E1D" w:rsidRDefault="00AA3EDB" w:rsidP="00747B30">
          <w:pPr>
            <w:tabs>
              <w:tab w:val="center" w:pos="4536"/>
              <w:tab w:val="right" w:pos="9072"/>
            </w:tabs>
            <w:spacing w:after="0" w:line="240" w:lineRule="auto"/>
            <w:ind w:left="0"/>
            <w:jc w:val="right"/>
            <w:rPr>
              <w:sz w:val="14"/>
              <w:szCs w:val="14"/>
              <w:lang w:val="es-ES"/>
            </w:rPr>
          </w:pPr>
        </w:p>
        <w:p w14:paraId="7EF46430" w14:textId="77777777" w:rsidR="00AA3EDB" w:rsidRPr="00036CF6" w:rsidRDefault="00AA3EDB" w:rsidP="00747B30">
          <w:pPr>
            <w:tabs>
              <w:tab w:val="center" w:pos="4536"/>
              <w:tab w:val="right" w:pos="9072"/>
            </w:tabs>
            <w:spacing w:after="0" w:line="240" w:lineRule="auto"/>
            <w:ind w:left="0"/>
            <w:jc w:val="center"/>
            <w:rPr>
              <w:rFonts w:ascii="Arial" w:eastAsia="Times New Roman" w:hAnsi="Arial" w:cs="Arial"/>
              <w:b/>
              <w:sz w:val="16"/>
              <w:szCs w:val="16"/>
              <w:lang w:val="ro-RO" w:eastAsia="ro-RO"/>
            </w:rPr>
          </w:pPr>
        </w:p>
      </w:tc>
    </w:tr>
  </w:tbl>
  <w:p w14:paraId="66A86EFA" w14:textId="77777777" w:rsidR="00AA3EDB" w:rsidRPr="007E7D11" w:rsidRDefault="00AA3EDB" w:rsidP="00E80D5E">
    <w:pPr>
      <w:pStyle w:val="Footer"/>
      <w:ind w:left="0"/>
      <w:rPr>
        <w:sz w:val="2"/>
        <w:szCs w:val="2"/>
        <w:lang w:val="es-E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701" w:type="dxa"/>
      <w:tblLook w:val="04A0" w:firstRow="1" w:lastRow="0" w:firstColumn="1" w:lastColumn="0" w:noHBand="0" w:noVBand="1"/>
    </w:tblPr>
    <w:tblGrid>
      <w:gridCol w:w="1566"/>
      <w:gridCol w:w="5986"/>
      <w:gridCol w:w="2981"/>
    </w:tblGrid>
    <w:tr w:rsidR="00AA3EDB" w:rsidRPr="00C542FE" w14:paraId="4773EACC" w14:textId="77777777" w:rsidTr="00036CF6">
      <w:tc>
        <w:tcPr>
          <w:tcW w:w="1566" w:type="dxa"/>
          <w:shd w:val="clear" w:color="auto" w:fill="auto"/>
        </w:tcPr>
        <w:p w14:paraId="3DE856EE" w14:textId="77777777" w:rsidR="00AA3EDB" w:rsidRPr="00036CF6" w:rsidRDefault="00AA3EDB" w:rsidP="00036CF6">
          <w:pPr>
            <w:tabs>
              <w:tab w:val="center" w:pos="4536"/>
              <w:tab w:val="right" w:pos="9072"/>
            </w:tabs>
            <w:spacing w:after="0" w:line="240" w:lineRule="auto"/>
            <w:ind w:left="-108"/>
            <w:jc w:val="left"/>
            <w:rPr>
              <w:rFonts w:ascii="Arial" w:eastAsia="Times New Roman" w:hAnsi="Arial" w:cs="Arial"/>
              <w:b/>
              <w:color w:val="003366"/>
              <w:sz w:val="16"/>
              <w:szCs w:val="16"/>
              <w:lang w:val="es-ES" w:eastAsia="ro-RO"/>
            </w:rPr>
          </w:pPr>
          <w:r w:rsidRPr="00036CF6">
            <w:rPr>
              <w:rFonts w:ascii="Times New Roman" w:eastAsia="Times New Roman" w:hAnsi="Times New Roman"/>
              <w:noProof/>
              <w:sz w:val="24"/>
              <w:szCs w:val="24"/>
            </w:rPr>
            <w:drawing>
              <wp:inline distT="0" distB="0" distL="0" distR="0" wp14:anchorId="1BD6F8E6" wp14:editId="21173EFD">
                <wp:extent cx="857250" cy="428625"/>
                <wp:effectExtent l="0" t="0" r="0" b="9525"/>
                <wp:docPr id="8" name="Imagine 7"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820" cy="428910"/>
                        </a:xfrm>
                        <a:prstGeom prst="rect">
                          <a:avLst/>
                        </a:prstGeom>
                        <a:noFill/>
                        <a:ln>
                          <a:noFill/>
                        </a:ln>
                      </pic:spPr>
                    </pic:pic>
                  </a:graphicData>
                </a:graphic>
              </wp:inline>
            </w:drawing>
          </w:r>
        </w:p>
      </w:tc>
      <w:tc>
        <w:tcPr>
          <w:tcW w:w="5986" w:type="dxa"/>
          <w:tcBorders>
            <w:left w:val="nil"/>
          </w:tcBorders>
          <w:shd w:val="clear" w:color="auto" w:fill="auto"/>
        </w:tcPr>
        <w:p w14:paraId="155BBDCF" w14:textId="77777777" w:rsidR="00AA3EDB" w:rsidRPr="00036CF6" w:rsidRDefault="00AA3EDB" w:rsidP="00036CF6">
          <w:pPr>
            <w:tabs>
              <w:tab w:val="center" w:pos="4536"/>
              <w:tab w:val="right" w:pos="9072"/>
            </w:tabs>
            <w:spacing w:after="0" w:line="240" w:lineRule="auto"/>
            <w:ind w:left="0"/>
            <w:jc w:val="left"/>
            <w:rPr>
              <w:sz w:val="14"/>
              <w:szCs w:val="14"/>
            </w:rPr>
          </w:pPr>
          <w:r w:rsidRPr="00036CF6">
            <w:rPr>
              <w:sz w:val="14"/>
              <w:szCs w:val="14"/>
            </w:rPr>
            <w:t xml:space="preserve">Str. </w:t>
          </w:r>
          <w:proofErr w:type="spellStart"/>
          <w:r w:rsidRPr="00036CF6">
            <w:rPr>
              <w:sz w:val="14"/>
              <w:szCs w:val="14"/>
            </w:rPr>
            <w:t>Apolodor</w:t>
          </w:r>
          <w:proofErr w:type="spellEnd"/>
          <w:r w:rsidRPr="00036CF6">
            <w:rPr>
              <w:sz w:val="14"/>
              <w:szCs w:val="14"/>
            </w:rPr>
            <w:t xml:space="preserve"> </w:t>
          </w:r>
          <w:proofErr w:type="spellStart"/>
          <w:r w:rsidRPr="00036CF6">
            <w:rPr>
              <w:sz w:val="14"/>
              <w:szCs w:val="14"/>
            </w:rPr>
            <w:t>nr</w:t>
          </w:r>
          <w:proofErr w:type="spellEnd"/>
          <w:r w:rsidRPr="00036CF6">
            <w:rPr>
              <w:sz w:val="14"/>
              <w:szCs w:val="14"/>
            </w:rPr>
            <w:t xml:space="preserve">. 17, sector 5, 050741 </w:t>
          </w:r>
          <w:proofErr w:type="spellStart"/>
          <w:r w:rsidRPr="00036CF6">
            <w:rPr>
              <w:sz w:val="14"/>
              <w:szCs w:val="14"/>
            </w:rPr>
            <w:t>Bucureşti</w:t>
          </w:r>
          <w:proofErr w:type="spellEnd"/>
          <w:r w:rsidRPr="00036CF6">
            <w:rPr>
              <w:sz w:val="14"/>
              <w:szCs w:val="14"/>
            </w:rPr>
            <w:t xml:space="preserve">, </w:t>
          </w:r>
          <w:proofErr w:type="spellStart"/>
          <w:r w:rsidRPr="00036CF6">
            <w:rPr>
              <w:sz w:val="14"/>
              <w:szCs w:val="14"/>
            </w:rPr>
            <w:t>România</w:t>
          </w:r>
          <w:proofErr w:type="spellEnd"/>
        </w:p>
        <w:p w14:paraId="7B8D5D67" w14:textId="77777777" w:rsidR="00AA3EDB" w:rsidRPr="00036CF6" w:rsidRDefault="00AA3EDB" w:rsidP="00036CF6">
          <w:pPr>
            <w:tabs>
              <w:tab w:val="center" w:pos="4320"/>
              <w:tab w:val="right" w:pos="8640"/>
            </w:tabs>
            <w:spacing w:after="0"/>
            <w:ind w:left="0"/>
            <w:rPr>
              <w:sz w:val="14"/>
              <w:szCs w:val="14"/>
            </w:rPr>
          </w:pPr>
          <w:r w:rsidRPr="00036CF6">
            <w:rPr>
              <w:sz w:val="14"/>
              <w:szCs w:val="14"/>
            </w:rPr>
            <w:t>Tel. +4 037 204 1999</w:t>
          </w:r>
        </w:p>
        <w:p w14:paraId="794522E3" w14:textId="77777777" w:rsidR="00AA3EDB" w:rsidRPr="00036CF6" w:rsidRDefault="008116A4" w:rsidP="00036CF6">
          <w:pPr>
            <w:tabs>
              <w:tab w:val="center" w:pos="4320"/>
              <w:tab w:val="right" w:pos="8640"/>
            </w:tabs>
            <w:spacing w:after="0"/>
            <w:ind w:left="0"/>
            <w:rPr>
              <w:sz w:val="14"/>
              <w:szCs w:val="14"/>
            </w:rPr>
          </w:pPr>
          <w:hyperlink r:id="rId2" w:history="1">
            <w:r w:rsidR="00AA3EDB" w:rsidRPr="00036CF6">
              <w:rPr>
                <w:color w:val="0000FF" w:themeColor="hyperlink"/>
                <w:sz w:val="14"/>
                <w:szCs w:val="14"/>
                <w:u w:val="single"/>
              </w:rPr>
              <w:t>www.just.ro</w:t>
            </w:r>
          </w:hyperlink>
        </w:p>
        <w:p w14:paraId="6C586303" w14:textId="77777777" w:rsidR="00AA3EDB" w:rsidRPr="00036CF6" w:rsidRDefault="00AA3EDB" w:rsidP="00036CF6">
          <w:pPr>
            <w:tabs>
              <w:tab w:val="center" w:pos="4536"/>
              <w:tab w:val="right" w:pos="9072"/>
            </w:tabs>
            <w:spacing w:after="0" w:line="240" w:lineRule="auto"/>
            <w:ind w:left="0"/>
            <w:jc w:val="left"/>
            <w:rPr>
              <w:rFonts w:ascii="Arial" w:eastAsia="Times New Roman" w:hAnsi="Arial" w:cs="Arial"/>
              <w:b/>
              <w:color w:val="003366"/>
              <w:sz w:val="16"/>
              <w:szCs w:val="16"/>
              <w:lang w:val="ro-RO" w:eastAsia="ro-RO"/>
            </w:rPr>
          </w:pPr>
        </w:p>
      </w:tc>
      <w:tc>
        <w:tcPr>
          <w:tcW w:w="2981" w:type="dxa"/>
          <w:shd w:val="clear" w:color="auto" w:fill="auto"/>
        </w:tcPr>
        <w:p w14:paraId="15DB505F" w14:textId="77777777" w:rsidR="00AA3EDB" w:rsidRPr="00B66E1D" w:rsidRDefault="00AA3EDB" w:rsidP="00036CF6">
          <w:pPr>
            <w:tabs>
              <w:tab w:val="center" w:pos="4536"/>
              <w:tab w:val="right" w:pos="9072"/>
            </w:tabs>
            <w:spacing w:after="0" w:line="240" w:lineRule="auto"/>
            <w:ind w:left="0"/>
            <w:jc w:val="right"/>
            <w:rPr>
              <w:sz w:val="14"/>
              <w:szCs w:val="14"/>
              <w:lang w:val="es-ES"/>
            </w:rPr>
          </w:pPr>
          <w:proofErr w:type="spellStart"/>
          <w:r w:rsidRPr="00B66E1D">
            <w:rPr>
              <w:sz w:val="14"/>
              <w:szCs w:val="14"/>
              <w:lang w:val="es-ES"/>
            </w:rPr>
            <w:t>Pagina</w:t>
          </w:r>
          <w:proofErr w:type="spellEnd"/>
          <w:r w:rsidRPr="00B66E1D">
            <w:rPr>
              <w:sz w:val="14"/>
              <w:szCs w:val="14"/>
              <w:lang w:val="es-ES"/>
            </w:rPr>
            <w:t xml:space="preserve"> </w:t>
          </w:r>
          <w:r w:rsidRPr="00036CF6">
            <w:rPr>
              <w:sz w:val="14"/>
              <w:szCs w:val="14"/>
            </w:rPr>
            <w:fldChar w:fldCharType="begin"/>
          </w:r>
          <w:r w:rsidRPr="00B66E1D">
            <w:rPr>
              <w:sz w:val="14"/>
              <w:szCs w:val="14"/>
              <w:lang w:val="es-ES"/>
            </w:rPr>
            <w:instrText xml:space="preserve"> PAGE </w:instrText>
          </w:r>
          <w:r w:rsidRPr="00036CF6">
            <w:rPr>
              <w:sz w:val="14"/>
              <w:szCs w:val="14"/>
            </w:rPr>
            <w:fldChar w:fldCharType="separate"/>
          </w:r>
          <w:r w:rsidR="00EA2112">
            <w:rPr>
              <w:noProof/>
              <w:sz w:val="14"/>
              <w:szCs w:val="14"/>
              <w:lang w:val="es-ES"/>
            </w:rPr>
            <w:t>1</w:t>
          </w:r>
          <w:r w:rsidRPr="00036CF6">
            <w:rPr>
              <w:sz w:val="14"/>
              <w:szCs w:val="14"/>
            </w:rPr>
            <w:fldChar w:fldCharType="end"/>
          </w:r>
          <w:r w:rsidRPr="00B66E1D">
            <w:rPr>
              <w:sz w:val="14"/>
              <w:szCs w:val="14"/>
              <w:lang w:val="es-ES"/>
            </w:rPr>
            <w:t xml:space="preserve"> </w:t>
          </w:r>
          <w:proofErr w:type="spellStart"/>
          <w:r w:rsidRPr="00B66E1D">
            <w:rPr>
              <w:sz w:val="14"/>
              <w:szCs w:val="14"/>
              <w:lang w:val="es-ES"/>
            </w:rPr>
            <w:t>din</w:t>
          </w:r>
          <w:proofErr w:type="spellEnd"/>
          <w:r w:rsidRPr="00B66E1D">
            <w:rPr>
              <w:sz w:val="14"/>
              <w:szCs w:val="14"/>
              <w:lang w:val="es-ES"/>
            </w:rPr>
            <w:t xml:space="preserve"> </w:t>
          </w:r>
          <w:r w:rsidRPr="00036CF6">
            <w:rPr>
              <w:sz w:val="14"/>
              <w:szCs w:val="14"/>
            </w:rPr>
            <w:fldChar w:fldCharType="begin"/>
          </w:r>
          <w:r w:rsidRPr="00B66E1D">
            <w:rPr>
              <w:sz w:val="14"/>
              <w:szCs w:val="14"/>
              <w:lang w:val="es-ES"/>
            </w:rPr>
            <w:instrText xml:space="preserve"> SECTIONPAGES   \* MERGEFORMAT </w:instrText>
          </w:r>
          <w:r w:rsidRPr="00036CF6">
            <w:rPr>
              <w:sz w:val="14"/>
              <w:szCs w:val="14"/>
            </w:rPr>
            <w:fldChar w:fldCharType="separate"/>
          </w:r>
          <w:r w:rsidR="00EA2112">
            <w:rPr>
              <w:noProof/>
              <w:sz w:val="14"/>
              <w:szCs w:val="14"/>
              <w:lang w:val="es-ES"/>
            </w:rPr>
            <w:t>2</w:t>
          </w:r>
          <w:r w:rsidRPr="00036CF6">
            <w:rPr>
              <w:sz w:val="14"/>
              <w:szCs w:val="14"/>
            </w:rPr>
            <w:fldChar w:fldCharType="end"/>
          </w:r>
        </w:p>
        <w:p w14:paraId="19A6FDBE" w14:textId="77777777" w:rsidR="00AA3EDB" w:rsidRPr="00B66E1D" w:rsidRDefault="00AA3EDB" w:rsidP="00036CF6">
          <w:pPr>
            <w:tabs>
              <w:tab w:val="center" w:pos="4536"/>
              <w:tab w:val="right" w:pos="9072"/>
            </w:tabs>
            <w:spacing w:after="0" w:line="240" w:lineRule="auto"/>
            <w:ind w:left="0"/>
            <w:jc w:val="right"/>
            <w:rPr>
              <w:sz w:val="14"/>
              <w:szCs w:val="14"/>
              <w:lang w:val="es-ES"/>
            </w:rPr>
          </w:pPr>
        </w:p>
        <w:p w14:paraId="36612276" w14:textId="77777777" w:rsidR="00AA3EDB" w:rsidRPr="00036CF6" w:rsidRDefault="00AA3EDB" w:rsidP="008F5202">
          <w:pPr>
            <w:tabs>
              <w:tab w:val="center" w:pos="4536"/>
              <w:tab w:val="right" w:pos="9072"/>
            </w:tabs>
            <w:spacing w:after="0" w:line="240" w:lineRule="auto"/>
            <w:ind w:left="0"/>
            <w:jc w:val="center"/>
            <w:rPr>
              <w:rFonts w:ascii="Arial" w:eastAsia="Times New Roman" w:hAnsi="Arial" w:cs="Arial"/>
              <w:b/>
              <w:sz w:val="16"/>
              <w:szCs w:val="16"/>
              <w:lang w:val="ro-RO" w:eastAsia="ro-RO"/>
            </w:rPr>
          </w:pPr>
        </w:p>
      </w:tc>
    </w:tr>
  </w:tbl>
  <w:p w14:paraId="45037D75" w14:textId="77777777" w:rsidR="00AA3EDB" w:rsidRPr="007E7D11" w:rsidRDefault="00AA3EDB" w:rsidP="00036CF6">
    <w:pPr>
      <w:pStyle w:val="Footer"/>
      <w:ind w:left="0"/>
      <w:rPr>
        <w:sz w:val="2"/>
        <w:szCs w:val="2"/>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69E585" w14:textId="77777777" w:rsidR="008116A4" w:rsidRDefault="008116A4" w:rsidP="00871565">
      <w:pPr>
        <w:spacing w:after="0"/>
        <w:ind w:left="0"/>
      </w:pPr>
      <w:r>
        <w:separator/>
      </w:r>
    </w:p>
  </w:footnote>
  <w:footnote w:type="continuationSeparator" w:id="0">
    <w:p w14:paraId="39F201E6" w14:textId="77777777" w:rsidR="008116A4" w:rsidRDefault="008116A4" w:rsidP="00871565">
      <w:pPr>
        <w:ind w:left="0"/>
      </w:pPr>
      <w:r>
        <w:continuationSeparator/>
      </w:r>
    </w:p>
  </w:footnote>
  <w:footnote w:type="continuationNotice" w:id="1">
    <w:p w14:paraId="6820E0BC" w14:textId="77777777" w:rsidR="008116A4" w:rsidRDefault="008116A4" w:rsidP="00871565">
      <w:pPr>
        <w:spacing w:after="0" w:line="240" w:lineRule="auto"/>
        <w:ind w:left="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8366D" w14:textId="77777777" w:rsidR="00AA3EDB" w:rsidRDefault="00AA3EDB" w:rsidP="008A4458">
    <w:pPr>
      <w:pStyle w:val="Header"/>
      <w:ind w:left="0"/>
    </w:pPr>
  </w:p>
  <w:p w14:paraId="59BCBBD4" w14:textId="77777777" w:rsidR="00AA3EDB" w:rsidRPr="00CD5B3B" w:rsidRDefault="00AA3EDB" w:rsidP="008A4458">
    <w:pPr>
      <w:pStyle w:val="Header"/>
      <w:ind w:left="0"/>
    </w:pPr>
    <w:r>
      <w:rPr>
        <w:noProof/>
      </w:rPr>
      <w:drawing>
        <wp:inline distT="0" distB="0" distL="0" distR="0" wp14:anchorId="56333532" wp14:editId="058CA346">
          <wp:extent cx="1959610" cy="201930"/>
          <wp:effectExtent l="0" t="0" r="2540" b="7620"/>
          <wp:docPr id="2" name="Picture 31" descr="D:\Profiles\Viorel.Streza\Desktop\template min 4 radu\logo_antet\logo_antet_MJ_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Profiles\Viorel.Streza\Desktop\template min 4 radu\logo_antet\logo_antet_MJ_p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9610" cy="20193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5" w:type="dxa"/>
      <w:tblInd w:w="-1701" w:type="dxa"/>
      <w:tblCellMar>
        <w:left w:w="0" w:type="dxa"/>
        <w:right w:w="0" w:type="dxa"/>
      </w:tblCellMar>
      <w:tblLook w:val="04A0" w:firstRow="1" w:lastRow="0" w:firstColumn="1" w:lastColumn="0" w:noHBand="0" w:noVBand="1"/>
    </w:tblPr>
    <w:tblGrid>
      <w:gridCol w:w="6804"/>
      <w:gridCol w:w="4111"/>
    </w:tblGrid>
    <w:tr w:rsidR="00AA3EDB" w14:paraId="6925A376" w14:textId="77777777" w:rsidTr="008A4458">
      <w:tc>
        <w:tcPr>
          <w:tcW w:w="6804" w:type="dxa"/>
          <w:shd w:val="clear" w:color="auto" w:fill="auto"/>
        </w:tcPr>
        <w:p w14:paraId="2DE22306" w14:textId="77777777" w:rsidR="00AA3EDB" w:rsidRDefault="00AA3EDB" w:rsidP="00C20EF1">
          <w:pPr>
            <w:pStyle w:val="MediumGrid21"/>
          </w:pPr>
          <w:r>
            <w:rPr>
              <w:noProof/>
            </w:rPr>
            <w:drawing>
              <wp:inline distT="0" distB="0" distL="0" distR="0" wp14:anchorId="351EEC8D" wp14:editId="7E65A0CE">
                <wp:extent cx="3028315" cy="902335"/>
                <wp:effectExtent l="0" t="0" r="635" b="0"/>
                <wp:docPr id="3" name="Picture 30" descr="D:\Profiles\Viorel.Streza\Desktop\template min 4 radu\logo_antet\logo_antet_MJ.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Profiles\Viorel.Streza\Desktop\template min 4 radu\logo_antet\logo_antet_MJ.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8315" cy="902335"/>
                        </a:xfrm>
                        <a:prstGeom prst="rect">
                          <a:avLst/>
                        </a:prstGeom>
                        <a:noFill/>
                        <a:ln>
                          <a:noFill/>
                        </a:ln>
                      </pic:spPr>
                    </pic:pic>
                  </a:graphicData>
                </a:graphic>
              </wp:inline>
            </w:drawing>
          </w:r>
        </w:p>
        <w:p w14:paraId="7EFD16CC" w14:textId="77777777" w:rsidR="00AA3EDB" w:rsidRPr="00CD5B3B" w:rsidRDefault="00AA3EDB" w:rsidP="00C20EF1">
          <w:pPr>
            <w:pStyle w:val="MediumGrid21"/>
          </w:pPr>
        </w:p>
      </w:tc>
      <w:tc>
        <w:tcPr>
          <w:tcW w:w="4111" w:type="dxa"/>
          <w:shd w:val="clear" w:color="auto" w:fill="auto"/>
          <w:vAlign w:val="center"/>
        </w:tcPr>
        <w:p w14:paraId="4E608D9D" w14:textId="19E4D4FC" w:rsidR="00AA3EDB" w:rsidRDefault="00AA3EDB" w:rsidP="00E562FC">
          <w:pPr>
            <w:pStyle w:val="MediumGrid21"/>
            <w:jc w:val="right"/>
          </w:pPr>
          <w:r w:rsidRPr="00CE379B">
            <w:rPr>
              <w:rFonts w:ascii="Cambria" w:hAnsi="Cambria"/>
              <w:noProof/>
            </w:rPr>
            <w:drawing>
              <wp:inline distT="0" distB="0" distL="0" distR="0" wp14:anchorId="57666629" wp14:editId="0F2502B0">
                <wp:extent cx="1286510" cy="903605"/>
                <wp:effectExtent l="0" t="0" r="8890" b="0"/>
                <wp:docPr id="4" name="Picture 4" descr="C:\Users\leonard.anghel\Desktop\logo_centenar_ROMANIA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descr="C:\Users\leonard.anghel\Desktop\logo_centenar_ROMANIA_1.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6510" cy="903605"/>
                        </a:xfrm>
                        <a:prstGeom prst="rect">
                          <a:avLst/>
                        </a:prstGeom>
                        <a:noFill/>
                        <a:ln>
                          <a:noFill/>
                        </a:ln>
                      </pic:spPr>
                    </pic:pic>
                  </a:graphicData>
                </a:graphic>
              </wp:inline>
            </w:drawing>
          </w:r>
        </w:p>
      </w:tc>
    </w:tr>
  </w:tbl>
  <w:p w14:paraId="63FCE77E" w14:textId="77777777" w:rsidR="00AA3EDB" w:rsidRPr="007E7D11" w:rsidRDefault="00AA3EDB" w:rsidP="002B2D08">
    <w:pPr>
      <w:pStyle w:val="Header"/>
      <w:spacing w:after="0"/>
      <w:ind w:left="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826ECE"/>
    <w:multiLevelType w:val="hybridMultilevel"/>
    <w:tmpl w:val="3258AAE8"/>
    <w:lvl w:ilvl="0" w:tplc="04180001">
      <w:start w:val="1"/>
      <w:numFmt w:val="bullet"/>
      <w:lvlText w:val=""/>
      <w:lvlJc w:val="left"/>
      <w:pPr>
        <w:ind w:left="1713" w:hanging="360"/>
      </w:pPr>
      <w:rPr>
        <w:rFonts w:ascii="Symbol" w:hAnsi="Symbo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1">
    <w:nsid w:val="1F67735D"/>
    <w:multiLevelType w:val="hybridMultilevel"/>
    <w:tmpl w:val="68D632B2"/>
    <w:lvl w:ilvl="0" w:tplc="2B9687C0">
      <w:start w:val="24"/>
      <w:numFmt w:val="bullet"/>
      <w:lvlText w:val="-"/>
      <w:lvlJc w:val="left"/>
      <w:pPr>
        <w:tabs>
          <w:tab w:val="num" w:pos="1575"/>
        </w:tabs>
        <w:ind w:left="1575" w:hanging="855"/>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25A56E3B"/>
    <w:multiLevelType w:val="hybridMultilevel"/>
    <w:tmpl w:val="5A3C4AEA"/>
    <w:lvl w:ilvl="0" w:tplc="C97E73AC">
      <w:start w:val="19"/>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41BD2F82"/>
    <w:multiLevelType w:val="hybridMultilevel"/>
    <w:tmpl w:val="97F8955E"/>
    <w:lvl w:ilvl="0" w:tplc="2B9687C0">
      <w:start w:val="24"/>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642527B1"/>
    <w:multiLevelType w:val="multilevel"/>
    <w:tmpl w:val="0C1CD596"/>
    <w:lvl w:ilvl="0">
      <w:start w:val="1"/>
      <w:numFmt w:val="decimal"/>
      <w:pStyle w:val="A1"/>
      <w:lvlText w:val="Art. %1"/>
      <w:lvlJc w:val="left"/>
      <w:pPr>
        <w:tabs>
          <w:tab w:val="num" w:pos="360"/>
        </w:tabs>
        <w:ind w:left="360" w:hanging="360"/>
      </w:pPr>
      <w:rPr>
        <w:rFonts w:hint="default"/>
        <w:b/>
        <w:i w:val="0"/>
        <w:color w:val="auto"/>
      </w:rPr>
    </w:lvl>
    <w:lvl w:ilvl="1">
      <w:start w:val="1"/>
      <w:numFmt w:val="lowerLetter"/>
      <w:pStyle w:val="TitluNivel1"/>
      <w:lvlText w:val="art. %1. alin %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684F7817"/>
    <w:multiLevelType w:val="hybridMultilevel"/>
    <w:tmpl w:val="6ED6800E"/>
    <w:lvl w:ilvl="0" w:tplc="4C5A872C">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6EDF3367"/>
    <w:multiLevelType w:val="hybridMultilevel"/>
    <w:tmpl w:val="7152B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F2C"/>
    <w:rsid w:val="00003250"/>
    <w:rsid w:val="00005372"/>
    <w:rsid w:val="0002256C"/>
    <w:rsid w:val="00023330"/>
    <w:rsid w:val="00033496"/>
    <w:rsid w:val="00036CF6"/>
    <w:rsid w:val="000377F1"/>
    <w:rsid w:val="00050C1C"/>
    <w:rsid w:val="00060F13"/>
    <w:rsid w:val="000A3411"/>
    <w:rsid w:val="000A61FE"/>
    <w:rsid w:val="000B2A42"/>
    <w:rsid w:val="000C3CD9"/>
    <w:rsid w:val="000C53AB"/>
    <w:rsid w:val="000D66C9"/>
    <w:rsid w:val="000E07D8"/>
    <w:rsid w:val="000F0AA6"/>
    <w:rsid w:val="000F52D3"/>
    <w:rsid w:val="00100B5D"/>
    <w:rsid w:val="00100F36"/>
    <w:rsid w:val="00103FBB"/>
    <w:rsid w:val="001065E8"/>
    <w:rsid w:val="0011284B"/>
    <w:rsid w:val="0011567F"/>
    <w:rsid w:val="001500F2"/>
    <w:rsid w:val="001A0DAC"/>
    <w:rsid w:val="001C2AC8"/>
    <w:rsid w:val="001D4B91"/>
    <w:rsid w:val="001E2BD8"/>
    <w:rsid w:val="002062E1"/>
    <w:rsid w:val="00206B44"/>
    <w:rsid w:val="00212382"/>
    <w:rsid w:val="00212A34"/>
    <w:rsid w:val="00223EF7"/>
    <w:rsid w:val="002662A0"/>
    <w:rsid w:val="00284333"/>
    <w:rsid w:val="00294DCA"/>
    <w:rsid w:val="002A5742"/>
    <w:rsid w:val="002B2D08"/>
    <w:rsid w:val="002F6361"/>
    <w:rsid w:val="00322960"/>
    <w:rsid w:val="0032422C"/>
    <w:rsid w:val="00331FA5"/>
    <w:rsid w:val="00344755"/>
    <w:rsid w:val="003626C1"/>
    <w:rsid w:val="003677C6"/>
    <w:rsid w:val="003B34FA"/>
    <w:rsid w:val="003C57DC"/>
    <w:rsid w:val="003D1EA6"/>
    <w:rsid w:val="003E750E"/>
    <w:rsid w:val="003F1B3E"/>
    <w:rsid w:val="004140C9"/>
    <w:rsid w:val="00415E86"/>
    <w:rsid w:val="00417667"/>
    <w:rsid w:val="004215D7"/>
    <w:rsid w:val="00422087"/>
    <w:rsid w:val="00462299"/>
    <w:rsid w:val="00493AD5"/>
    <w:rsid w:val="004B4A57"/>
    <w:rsid w:val="004C4217"/>
    <w:rsid w:val="004C604B"/>
    <w:rsid w:val="004D63AC"/>
    <w:rsid w:val="004F094D"/>
    <w:rsid w:val="004F4C01"/>
    <w:rsid w:val="0050163F"/>
    <w:rsid w:val="00525275"/>
    <w:rsid w:val="00543045"/>
    <w:rsid w:val="00544607"/>
    <w:rsid w:val="00547022"/>
    <w:rsid w:val="00547191"/>
    <w:rsid w:val="0055175A"/>
    <w:rsid w:val="00552B37"/>
    <w:rsid w:val="00563539"/>
    <w:rsid w:val="00582437"/>
    <w:rsid w:val="00584A2B"/>
    <w:rsid w:val="00585FDF"/>
    <w:rsid w:val="005A07AB"/>
    <w:rsid w:val="005A44A0"/>
    <w:rsid w:val="005A5816"/>
    <w:rsid w:val="005A7586"/>
    <w:rsid w:val="005D36B6"/>
    <w:rsid w:val="005E6FFA"/>
    <w:rsid w:val="00604DD4"/>
    <w:rsid w:val="006073F2"/>
    <w:rsid w:val="00615279"/>
    <w:rsid w:val="00653201"/>
    <w:rsid w:val="00655CDE"/>
    <w:rsid w:val="00670436"/>
    <w:rsid w:val="00677FEB"/>
    <w:rsid w:val="006A018E"/>
    <w:rsid w:val="006A2480"/>
    <w:rsid w:val="006A263E"/>
    <w:rsid w:val="006A4488"/>
    <w:rsid w:val="006B528B"/>
    <w:rsid w:val="006C3494"/>
    <w:rsid w:val="006D4052"/>
    <w:rsid w:val="006D7378"/>
    <w:rsid w:val="006D7806"/>
    <w:rsid w:val="006E3091"/>
    <w:rsid w:val="006E54D0"/>
    <w:rsid w:val="006F0C3E"/>
    <w:rsid w:val="00711941"/>
    <w:rsid w:val="0071381D"/>
    <w:rsid w:val="00722BEC"/>
    <w:rsid w:val="00725F2C"/>
    <w:rsid w:val="00743D2D"/>
    <w:rsid w:val="00744C14"/>
    <w:rsid w:val="00747B30"/>
    <w:rsid w:val="007646B7"/>
    <w:rsid w:val="00766E0E"/>
    <w:rsid w:val="00776096"/>
    <w:rsid w:val="007817E2"/>
    <w:rsid w:val="00790F1F"/>
    <w:rsid w:val="0079171E"/>
    <w:rsid w:val="007B42AA"/>
    <w:rsid w:val="007B6A90"/>
    <w:rsid w:val="007C3174"/>
    <w:rsid w:val="007E1508"/>
    <w:rsid w:val="007E7D11"/>
    <w:rsid w:val="008116A4"/>
    <w:rsid w:val="008231E2"/>
    <w:rsid w:val="0083359D"/>
    <w:rsid w:val="00835088"/>
    <w:rsid w:val="00840F14"/>
    <w:rsid w:val="00871565"/>
    <w:rsid w:val="00871AF8"/>
    <w:rsid w:val="00871DA8"/>
    <w:rsid w:val="00882538"/>
    <w:rsid w:val="008952D7"/>
    <w:rsid w:val="008A27E7"/>
    <w:rsid w:val="008A2AC0"/>
    <w:rsid w:val="008A4458"/>
    <w:rsid w:val="008A5B60"/>
    <w:rsid w:val="008B63B2"/>
    <w:rsid w:val="008F5202"/>
    <w:rsid w:val="00914053"/>
    <w:rsid w:val="00915096"/>
    <w:rsid w:val="009357EA"/>
    <w:rsid w:val="00936781"/>
    <w:rsid w:val="0094530E"/>
    <w:rsid w:val="00972569"/>
    <w:rsid w:val="00974016"/>
    <w:rsid w:val="0099090D"/>
    <w:rsid w:val="009A17A2"/>
    <w:rsid w:val="009A7B23"/>
    <w:rsid w:val="009C01A4"/>
    <w:rsid w:val="009C3F69"/>
    <w:rsid w:val="009D6963"/>
    <w:rsid w:val="009E44C4"/>
    <w:rsid w:val="009E7609"/>
    <w:rsid w:val="00A06580"/>
    <w:rsid w:val="00A13890"/>
    <w:rsid w:val="00A15295"/>
    <w:rsid w:val="00A323AB"/>
    <w:rsid w:val="00A51D54"/>
    <w:rsid w:val="00A65CE5"/>
    <w:rsid w:val="00A75794"/>
    <w:rsid w:val="00A7669D"/>
    <w:rsid w:val="00A851E9"/>
    <w:rsid w:val="00A91BD2"/>
    <w:rsid w:val="00AA1BB5"/>
    <w:rsid w:val="00AA3EDB"/>
    <w:rsid w:val="00AC4ABE"/>
    <w:rsid w:val="00AE256A"/>
    <w:rsid w:val="00AE26B4"/>
    <w:rsid w:val="00AE27CF"/>
    <w:rsid w:val="00AE2A5A"/>
    <w:rsid w:val="00AF21FB"/>
    <w:rsid w:val="00AF3C52"/>
    <w:rsid w:val="00B13BB4"/>
    <w:rsid w:val="00B14306"/>
    <w:rsid w:val="00B352D8"/>
    <w:rsid w:val="00B55D79"/>
    <w:rsid w:val="00B66E1D"/>
    <w:rsid w:val="00B679C7"/>
    <w:rsid w:val="00B7792E"/>
    <w:rsid w:val="00BA0771"/>
    <w:rsid w:val="00BA110C"/>
    <w:rsid w:val="00BB360D"/>
    <w:rsid w:val="00BC305C"/>
    <w:rsid w:val="00BD5356"/>
    <w:rsid w:val="00BF61AA"/>
    <w:rsid w:val="00C05271"/>
    <w:rsid w:val="00C05F49"/>
    <w:rsid w:val="00C20EF1"/>
    <w:rsid w:val="00C2243E"/>
    <w:rsid w:val="00C34C3F"/>
    <w:rsid w:val="00C542FE"/>
    <w:rsid w:val="00C54591"/>
    <w:rsid w:val="00C82AC6"/>
    <w:rsid w:val="00C86F04"/>
    <w:rsid w:val="00C93CE1"/>
    <w:rsid w:val="00CB0D7F"/>
    <w:rsid w:val="00CD0C6C"/>
    <w:rsid w:val="00CD0F06"/>
    <w:rsid w:val="00CD5B3B"/>
    <w:rsid w:val="00CE1717"/>
    <w:rsid w:val="00CF42EA"/>
    <w:rsid w:val="00D06E9C"/>
    <w:rsid w:val="00D075DA"/>
    <w:rsid w:val="00D24ADF"/>
    <w:rsid w:val="00D27A05"/>
    <w:rsid w:val="00D327AD"/>
    <w:rsid w:val="00D33356"/>
    <w:rsid w:val="00D36D87"/>
    <w:rsid w:val="00D442D7"/>
    <w:rsid w:val="00D46611"/>
    <w:rsid w:val="00D476B7"/>
    <w:rsid w:val="00D7198D"/>
    <w:rsid w:val="00D8461D"/>
    <w:rsid w:val="00D86F1D"/>
    <w:rsid w:val="00D90C96"/>
    <w:rsid w:val="00D91126"/>
    <w:rsid w:val="00D93F53"/>
    <w:rsid w:val="00DB0A60"/>
    <w:rsid w:val="00DB5F61"/>
    <w:rsid w:val="00DC2989"/>
    <w:rsid w:val="00DC3D49"/>
    <w:rsid w:val="00DD36B6"/>
    <w:rsid w:val="00DE18D0"/>
    <w:rsid w:val="00E01C9E"/>
    <w:rsid w:val="00E1310B"/>
    <w:rsid w:val="00E532F8"/>
    <w:rsid w:val="00E562FC"/>
    <w:rsid w:val="00E71729"/>
    <w:rsid w:val="00E80D5E"/>
    <w:rsid w:val="00EA0F6C"/>
    <w:rsid w:val="00EA2112"/>
    <w:rsid w:val="00EB6ABD"/>
    <w:rsid w:val="00EC3989"/>
    <w:rsid w:val="00ED0F84"/>
    <w:rsid w:val="00ED0FAD"/>
    <w:rsid w:val="00EE1060"/>
    <w:rsid w:val="00EE32F2"/>
    <w:rsid w:val="00F0209F"/>
    <w:rsid w:val="00F04321"/>
    <w:rsid w:val="00F30363"/>
    <w:rsid w:val="00F43A6F"/>
    <w:rsid w:val="00F47AB4"/>
    <w:rsid w:val="00F56471"/>
    <w:rsid w:val="00F67D20"/>
    <w:rsid w:val="00F72651"/>
    <w:rsid w:val="00F8392E"/>
    <w:rsid w:val="00FA1EAA"/>
    <w:rsid w:val="00FA4510"/>
    <w:rsid w:val="00FB6D27"/>
    <w:rsid w:val="00FC4284"/>
    <w:rsid w:val="00FD2914"/>
    <w:rsid w:val="00FD6704"/>
    <w:rsid w:val="00FE2F2C"/>
    <w:rsid w:val="00FF55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3D82291"/>
  <w14:defaultImageDpi w14:val="300"/>
  <w15:docId w15:val="{0FE28D9A-83E7-4A70-BA28-01DF62DC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750E"/>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uiPriority w:val="9"/>
    <w:qFormat/>
    <w:rsid w:val="00CD5B3B"/>
    <w:pPr>
      <w:keepNext/>
      <w:spacing w:before="240" w:after="60"/>
      <w:outlineLvl w:val="0"/>
    </w:pPr>
    <w:rPr>
      <w:rFonts w:ascii="Calibri" w:eastAsia="MS Gothic" w:hAnsi="Calibri"/>
      <w:b/>
      <w:bCs/>
      <w:kern w:val="32"/>
      <w:sz w:val="32"/>
      <w:szCs w:val="32"/>
    </w:rPr>
  </w:style>
  <w:style w:type="paragraph" w:styleId="Heading2">
    <w:name w:val="heading 2"/>
    <w:basedOn w:val="Normal"/>
    <w:next w:val="Normal"/>
    <w:link w:val="Heading2Char"/>
    <w:uiPriority w:val="9"/>
    <w:qFormat/>
    <w:rsid w:val="00100F36"/>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D5B3B"/>
    <w:pPr>
      <w:tabs>
        <w:tab w:val="center" w:pos="4320"/>
        <w:tab w:val="right" w:pos="8640"/>
      </w:tabs>
    </w:pPr>
  </w:style>
  <w:style w:type="character" w:customStyle="1" w:styleId="HeaderChar">
    <w:name w:val="Header Char"/>
    <w:link w:val="Header"/>
    <w:rsid w:val="00CD5B3B"/>
    <w:rPr>
      <w:sz w:val="24"/>
      <w:szCs w:val="24"/>
    </w:rPr>
  </w:style>
  <w:style w:type="paragraph" w:styleId="Footer">
    <w:name w:val="footer"/>
    <w:basedOn w:val="Normal"/>
    <w:link w:val="FooterChar"/>
    <w:uiPriority w:val="99"/>
    <w:unhideWhenUsed/>
    <w:rsid w:val="00CD5B3B"/>
    <w:pPr>
      <w:tabs>
        <w:tab w:val="center" w:pos="4320"/>
        <w:tab w:val="right" w:pos="8640"/>
      </w:tabs>
    </w:pPr>
  </w:style>
  <w:style w:type="character" w:customStyle="1" w:styleId="FooterChar">
    <w:name w:val="Footer Char"/>
    <w:link w:val="Footer"/>
    <w:uiPriority w:val="99"/>
    <w:rsid w:val="00CD5B3B"/>
    <w:rPr>
      <w:sz w:val="24"/>
      <w:szCs w:val="24"/>
    </w:rPr>
  </w:style>
  <w:style w:type="table" w:styleId="TableGrid">
    <w:name w:val="Table Grid"/>
    <w:basedOn w:val="TableNormal"/>
    <w:uiPriority w:val="59"/>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CD5B3B"/>
    <w:rPr>
      <w:rFonts w:ascii="Trebuchet MS" w:hAnsi="Trebuchet MS"/>
      <w:sz w:val="18"/>
      <w:szCs w:val="18"/>
    </w:rPr>
  </w:style>
  <w:style w:type="character" w:customStyle="1" w:styleId="Heading1Char">
    <w:name w:val="Heading 1 Char"/>
    <w:link w:val="Heading1"/>
    <w:uiPriority w:val="9"/>
    <w:rsid w:val="00CD5B3B"/>
    <w:rPr>
      <w:rFonts w:ascii="Calibri" w:eastAsia="MS Gothic" w:hAnsi="Calibri" w:cs="Times New Roman"/>
      <w:b/>
      <w:bCs/>
      <w:kern w:val="32"/>
      <w:sz w:val="32"/>
      <w:szCs w:val="32"/>
    </w:rPr>
  </w:style>
  <w:style w:type="character" w:customStyle="1" w:styleId="SubtleEmphasis1">
    <w:name w:val="Subtle Emphasis1"/>
    <w:uiPriority w:val="19"/>
    <w:qFormat/>
    <w:rsid w:val="00AE26B4"/>
    <w:rPr>
      <w:color w:val="808080"/>
    </w:rPr>
  </w:style>
  <w:style w:type="character" w:styleId="Emphasis">
    <w:name w:val="Emphasis"/>
    <w:uiPriority w:val="20"/>
    <w:qFormat/>
    <w:rsid w:val="00AE26B4"/>
    <w:rPr>
      <w:i/>
      <w:iCs/>
    </w:rPr>
  </w:style>
  <w:style w:type="character" w:customStyle="1" w:styleId="IntenseEmphasis1">
    <w:name w:val="Intense Emphasis1"/>
    <w:uiPriority w:val="21"/>
    <w:qFormat/>
    <w:rsid w:val="00AE26B4"/>
    <w:rPr>
      <w:b/>
      <w:bCs/>
      <w:i/>
      <w:iCs/>
      <w:color w:val="4F81BD"/>
    </w:rPr>
  </w:style>
  <w:style w:type="character" w:styleId="Strong">
    <w:name w:val="Strong"/>
    <w:uiPriority w:val="22"/>
    <w:qFormat/>
    <w:rsid w:val="00AE26B4"/>
    <w:rPr>
      <w:b/>
      <w:bCs/>
    </w:rPr>
  </w:style>
  <w:style w:type="paragraph" w:customStyle="1" w:styleId="ColorfulGrid-Accent11">
    <w:name w:val="Colorful Grid - Accent 11"/>
    <w:basedOn w:val="Normal"/>
    <w:next w:val="Normal"/>
    <w:link w:val="ColorfulGrid-Accent1Char"/>
    <w:uiPriority w:val="29"/>
    <w:qFormat/>
    <w:rsid w:val="00AE26B4"/>
    <w:rPr>
      <w:i/>
      <w:iCs/>
      <w:color w:val="000000"/>
    </w:rPr>
  </w:style>
  <w:style w:type="character" w:customStyle="1" w:styleId="ColorfulGrid-Accent1Char">
    <w:name w:val="Colorful Grid - Accent 1 Char"/>
    <w:link w:val="ColorfulGrid-Accent11"/>
    <w:uiPriority w:val="29"/>
    <w:rsid w:val="00AE26B4"/>
    <w:rPr>
      <w:rFonts w:ascii="Trebuchet MS" w:hAnsi="Trebuchet MS"/>
      <w:i/>
      <w:iCs/>
      <w:color w:val="000000"/>
      <w:sz w:val="22"/>
      <w:szCs w:val="22"/>
    </w:rPr>
  </w:style>
  <w:style w:type="paragraph" w:styleId="Title">
    <w:name w:val="Title"/>
    <w:basedOn w:val="Normal"/>
    <w:next w:val="Normal"/>
    <w:link w:val="TitleChar"/>
    <w:uiPriority w:val="10"/>
    <w:qFormat/>
    <w:rsid w:val="00E562FC"/>
    <w:pPr>
      <w:spacing w:before="240" w:after="60"/>
      <w:jc w:val="left"/>
      <w:outlineLvl w:val="0"/>
    </w:pPr>
    <w:rPr>
      <w:rFonts w:ascii="Calibri" w:eastAsia="MS Gothic" w:hAnsi="Calibri"/>
      <w:b/>
      <w:bCs/>
      <w:kern w:val="28"/>
      <w:sz w:val="32"/>
      <w:szCs w:val="32"/>
    </w:rPr>
  </w:style>
  <w:style w:type="character" w:customStyle="1" w:styleId="TitleChar">
    <w:name w:val="Title Char"/>
    <w:link w:val="Title"/>
    <w:uiPriority w:val="10"/>
    <w:rsid w:val="00E562FC"/>
    <w:rPr>
      <w:rFonts w:ascii="Calibri" w:eastAsia="MS Gothic" w:hAnsi="Calibri" w:cs="Times New Roman"/>
      <w:b/>
      <w:bCs/>
      <w:kern w:val="28"/>
      <w:sz w:val="32"/>
      <w:szCs w:val="32"/>
    </w:rPr>
  </w:style>
  <w:style w:type="character" w:customStyle="1" w:styleId="Heading2Char">
    <w:name w:val="Heading 2 Char"/>
    <w:link w:val="Heading2"/>
    <w:uiPriority w:val="9"/>
    <w:rsid w:val="00100F36"/>
    <w:rPr>
      <w:rFonts w:ascii="Calibri" w:eastAsia="MS Gothic" w:hAnsi="Calibri" w:cs="Times New Roman"/>
      <w:b/>
      <w:bCs/>
      <w:i/>
      <w:iCs/>
      <w:sz w:val="28"/>
      <w:szCs w:val="28"/>
    </w:rPr>
  </w:style>
  <w:style w:type="paragraph" w:styleId="BalloonText">
    <w:name w:val="Balloon Text"/>
    <w:basedOn w:val="Normal"/>
    <w:link w:val="BalloonTextChar"/>
    <w:uiPriority w:val="99"/>
    <w:semiHidden/>
    <w:unhideWhenUsed/>
    <w:rsid w:val="00C05F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F49"/>
    <w:rPr>
      <w:rFonts w:ascii="Tahoma" w:hAnsi="Tahoma" w:cs="Tahoma"/>
      <w:sz w:val="16"/>
      <w:szCs w:val="16"/>
    </w:rPr>
  </w:style>
  <w:style w:type="character" w:styleId="Hyperlink">
    <w:name w:val="Hyperlink"/>
    <w:basedOn w:val="DefaultParagraphFont"/>
    <w:uiPriority w:val="99"/>
    <w:unhideWhenUsed/>
    <w:rsid w:val="00023330"/>
    <w:rPr>
      <w:color w:val="0000FF" w:themeColor="hyperlink"/>
      <w:u w:val="single"/>
    </w:rPr>
  </w:style>
  <w:style w:type="paragraph" w:styleId="FootnoteText">
    <w:name w:val="footnote text"/>
    <w:basedOn w:val="Normal"/>
    <w:link w:val="FootnoteTextChar"/>
    <w:uiPriority w:val="99"/>
    <w:semiHidden/>
    <w:unhideWhenUsed/>
    <w:rsid w:val="003E750E"/>
    <w:pPr>
      <w:spacing w:after="0"/>
      <w:ind w:left="0"/>
    </w:pPr>
    <w:rPr>
      <w:sz w:val="16"/>
      <w:szCs w:val="20"/>
    </w:rPr>
  </w:style>
  <w:style w:type="character" w:customStyle="1" w:styleId="FootnoteTextChar">
    <w:name w:val="Footnote Text Char"/>
    <w:basedOn w:val="DefaultParagraphFont"/>
    <w:link w:val="FootnoteText"/>
    <w:uiPriority w:val="99"/>
    <w:semiHidden/>
    <w:rsid w:val="003E750E"/>
    <w:rPr>
      <w:rFonts w:ascii="Trebuchet MS" w:hAnsi="Trebuchet MS"/>
      <w:sz w:val="16"/>
    </w:rPr>
  </w:style>
  <w:style w:type="character" w:styleId="FootnoteReference">
    <w:name w:val="footnote reference"/>
    <w:basedOn w:val="DefaultParagraphFont"/>
    <w:uiPriority w:val="99"/>
    <w:semiHidden/>
    <w:unhideWhenUsed/>
    <w:rsid w:val="00A65CE5"/>
    <w:rPr>
      <w:vertAlign w:val="superscript"/>
    </w:rPr>
  </w:style>
  <w:style w:type="paragraph" w:customStyle="1" w:styleId="Char">
    <w:name w:val="Char"/>
    <w:basedOn w:val="Normal"/>
    <w:rsid w:val="008F5202"/>
    <w:pPr>
      <w:spacing w:after="0" w:line="240" w:lineRule="auto"/>
      <w:ind w:left="0"/>
      <w:jc w:val="left"/>
    </w:pPr>
    <w:rPr>
      <w:rFonts w:ascii="Times New Roman" w:eastAsia="Times New Roman" w:hAnsi="Times New Roman"/>
      <w:sz w:val="24"/>
      <w:szCs w:val="24"/>
      <w:lang w:val="pl-PL" w:eastAsia="pl-PL"/>
    </w:rPr>
  </w:style>
  <w:style w:type="character" w:customStyle="1" w:styleId="l5tlu1">
    <w:name w:val="l5tlu1"/>
    <w:rsid w:val="00D46611"/>
    <w:rPr>
      <w:b/>
      <w:bCs/>
      <w:color w:val="000000"/>
      <w:sz w:val="32"/>
      <w:szCs w:val="32"/>
    </w:rPr>
  </w:style>
  <w:style w:type="character" w:styleId="CommentReference">
    <w:name w:val="annotation reference"/>
    <w:basedOn w:val="DefaultParagraphFont"/>
    <w:uiPriority w:val="99"/>
    <w:semiHidden/>
    <w:unhideWhenUsed/>
    <w:rsid w:val="005A07AB"/>
    <w:rPr>
      <w:sz w:val="16"/>
      <w:szCs w:val="16"/>
    </w:rPr>
  </w:style>
  <w:style w:type="paragraph" w:styleId="CommentText">
    <w:name w:val="annotation text"/>
    <w:basedOn w:val="Normal"/>
    <w:link w:val="CommentTextChar"/>
    <w:uiPriority w:val="99"/>
    <w:semiHidden/>
    <w:unhideWhenUsed/>
    <w:rsid w:val="005A07AB"/>
    <w:pPr>
      <w:spacing w:line="240" w:lineRule="auto"/>
    </w:pPr>
    <w:rPr>
      <w:sz w:val="20"/>
      <w:szCs w:val="20"/>
    </w:rPr>
  </w:style>
  <w:style w:type="character" w:customStyle="1" w:styleId="CommentTextChar">
    <w:name w:val="Comment Text Char"/>
    <w:basedOn w:val="DefaultParagraphFont"/>
    <w:link w:val="CommentText"/>
    <w:uiPriority w:val="99"/>
    <w:semiHidden/>
    <w:rsid w:val="005A07AB"/>
    <w:rPr>
      <w:rFonts w:ascii="Trebuchet MS" w:hAnsi="Trebuchet MS"/>
    </w:rPr>
  </w:style>
  <w:style w:type="paragraph" w:styleId="CommentSubject">
    <w:name w:val="annotation subject"/>
    <w:basedOn w:val="CommentText"/>
    <w:next w:val="CommentText"/>
    <w:link w:val="CommentSubjectChar"/>
    <w:uiPriority w:val="99"/>
    <w:semiHidden/>
    <w:unhideWhenUsed/>
    <w:rsid w:val="005A07AB"/>
    <w:rPr>
      <w:b/>
      <w:bCs/>
    </w:rPr>
  </w:style>
  <w:style w:type="character" w:customStyle="1" w:styleId="CommentSubjectChar">
    <w:name w:val="Comment Subject Char"/>
    <w:basedOn w:val="CommentTextChar"/>
    <w:link w:val="CommentSubject"/>
    <w:uiPriority w:val="99"/>
    <w:semiHidden/>
    <w:rsid w:val="005A07AB"/>
    <w:rPr>
      <w:rFonts w:ascii="Trebuchet MS" w:hAnsi="Trebuchet MS"/>
      <w:b/>
      <w:bCs/>
    </w:rPr>
  </w:style>
  <w:style w:type="paragraph" w:customStyle="1" w:styleId="ListParagraph1">
    <w:name w:val="List Paragraph1"/>
    <w:basedOn w:val="Normal"/>
    <w:uiPriority w:val="34"/>
    <w:qFormat/>
    <w:rsid w:val="00103FBB"/>
    <w:pPr>
      <w:spacing w:after="200"/>
      <w:ind w:left="720"/>
      <w:contextualSpacing/>
      <w:jc w:val="left"/>
    </w:pPr>
    <w:rPr>
      <w:rFonts w:ascii="Calibri" w:eastAsia="Times New Roman" w:hAnsi="Calibri"/>
    </w:rPr>
  </w:style>
  <w:style w:type="paragraph" w:styleId="ListParagraph">
    <w:name w:val="List Paragraph"/>
    <w:basedOn w:val="Normal"/>
    <w:uiPriority w:val="34"/>
    <w:qFormat/>
    <w:rsid w:val="00A06580"/>
    <w:pPr>
      <w:ind w:left="720"/>
      <w:contextualSpacing/>
    </w:pPr>
  </w:style>
  <w:style w:type="paragraph" w:styleId="NoSpacing">
    <w:name w:val="No Spacing"/>
    <w:uiPriority w:val="1"/>
    <w:qFormat/>
    <w:rsid w:val="001500F2"/>
    <w:rPr>
      <w:rFonts w:ascii="Calibri" w:eastAsia="Calibri" w:hAnsi="Calibri"/>
      <w:sz w:val="22"/>
      <w:szCs w:val="22"/>
      <w:lang w:val="ro-RO"/>
    </w:rPr>
  </w:style>
  <w:style w:type="paragraph" w:customStyle="1" w:styleId="TitluNivel1">
    <w:name w:val="Titlu Nivel 1"/>
    <w:rsid w:val="001500F2"/>
    <w:pPr>
      <w:numPr>
        <w:ilvl w:val="1"/>
        <w:numId w:val="2"/>
      </w:numPr>
      <w:autoSpaceDE w:val="0"/>
      <w:autoSpaceDN w:val="0"/>
      <w:adjustRightInd w:val="0"/>
      <w:jc w:val="both"/>
    </w:pPr>
    <w:rPr>
      <w:rFonts w:ascii="Arial" w:eastAsia="Times New Roman" w:hAnsi="Arial" w:cs="Arial"/>
      <w:sz w:val="24"/>
      <w:szCs w:val="24"/>
      <w:lang w:val="ro-RO" w:eastAsia="ro-RO"/>
    </w:rPr>
  </w:style>
  <w:style w:type="paragraph" w:customStyle="1" w:styleId="A1">
    <w:name w:val="A 1"/>
    <w:basedOn w:val="Normal"/>
    <w:rsid w:val="001500F2"/>
    <w:pPr>
      <w:numPr>
        <w:numId w:val="2"/>
      </w:numPr>
      <w:spacing w:after="0" w:line="240" w:lineRule="auto"/>
      <w:jc w:val="left"/>
    </w:pPr>
    <w:rPr>
      <w:rFonts w:ascii="Arial" w:eastAsia="Times New Roman" w:hAnsi="Arial" w:cs="Arial"/>
      <w:b/>
      <w:color w:val="FF0000"/>
      <w:sz w:val="24"/>
      <w:szCs w:val="24"/>
      <w:lang w:val="pt-BR" w:eastAsia="ro-RO"/>
    </w:rPr>
  </w:style>
  <w:style w:type="character" w:customStyle="1" w:styleId="BodytextBold">
    <w:name w:val="Body text + Bold"/>
    <w:uiPriority w:val="99"/>
    <w:rsid w:val="00871AF8"/>
    <w:rPr>
      <w:rFonts w:ascii="Times New Roman" w:hAnsi="Times New Roman" w:cs="Times New Roman"/>
      <w:b/>
      <w:bCs/>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3929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just.ro"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just.ro" TargetMode="External"/><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Profiles\Viorel.Streza\Desktop\template%20min%204%20radu\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8EA71-ACFC-4BC9-B633-ECBA4BFA5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TotalTime>
  <Pages>2</Pages>
  <Words>971</Words>
  <Characters>5540</Characters>
  <Application>Microsoft Office Word</Application>
  <DocSecurity>0</DocSecurity>
  <Lines>46</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6499</CharactersWithSpaces>
  <SharedDoc>false</SharedDoc>
  <HLinks>
    <vt:vector size="12" baseType="variant">
      <vt:variant>
        <vt:i4>458786</vt:i4>
      </vt:variant>
      <vt:variant>
        <vt:i4>5514</vt:i4>
      </vt:variant>
      <vt:variant>
        <vt:i4>1026</vt:i4>
      </vt:variant>
      <vt:variant>
        <vt:i4>1</vt:i4>
      </vt:variant>
      <vt:variant>
        <vt:lpwstr>logo_antet_dep_energie_p2</vt:lpwstr>
      </vt:variant>
      <vt:variant>
        <vt:lpwstr/>
      </vt:variant>
      <vt:variant>
        <vt:i4>7798863</vt:i4>
      </vt:variant>
      <vt:variant>
        <vt:i4>7856</vt:i4>
      </vt:variant>
      <vt:variant>
        <vt:i4>1025</vt:i4>
      </vt:variant>
      <vt:variant>
        <vt:i4>1</vt:i4>
      </vt:variant>
      <vt:variant>
        <vt:lpwstr>logo_antet_dep_energie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Viorel Streza</dc:creator>
  <cp:lastModifiedBy>Oana Mezanote</cp:lastModifiedBy>
  <cp:revision>3</cp:revision>
  <cp:lastPrinted>2018-09-24T12:44:00Z</cp:lastPrinted>
  <dcterms:created xsi:type="dcterms:W3CDTF">2018-11-02T10:13:00Z</dcterms:created>
  <dcterms:modified xsi:type="dcterms:W3CDTF">2018-11-02T10:14:00Z</dcterms:modified>
</cp:coreProperties>
</file>